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9645"/>
      </w:tblGrid>
      <w:tr w:rsidR="00E22052" w:rsidTr="00E22052">
        <w:trPr>
          <w:cantSplit/>
        </w:trPr>
        <w:tc>
          <w:tcPr>
            <w:tcW w:w="9645" w:type="dxa"/>
            <w:hideMark/>
          </w:tcPr>
          <w:p w:rsidR="00E22052" w:rsidRDefault="00E22052">
            <w:pPr>
              <w:spacing w:line="276" w:lineRule="auto"/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52450" cy="7239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052" w:rsidTr="00E22052">
        <w:trPr>
          <w:cantSplit/>
        </w:trPr>
        <w:tc>
          <w:tcPr>
            <w:tcW w:w="9645" w:type="dxa"/>
            <w:hideMark/>
          </w:tcPr>
          <w:p w:rsidR="00E22052" w:rsidRDefault="00E22052">
            <w:pPr>
              <w:pStyle w:val="5"/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</w:rPr>
              <w:t>УКРАЇНА</w:t>
            </w:r>
          </w:p>
        </w:tc>
      </w:tr>
      <w:tr w:rsidR="00E22052" w:rsidTr="00E22052">
        <w:trPr>
          <w:cantSplit/>
        </w:trPr>
        <w:tc>
          <w:tcPr>
            <w:tcW w:w="9645" w:type="dxa"/>
            <w:hideMark/>
          </w:tcPr>
          <w:p w:rsidR="00E22052" w:rsidRDefault="00E22052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>НОВОГРАД-ВОЛИНСЬКА РАЙОННА РАДА</w:t>
            </w:r>
          </w:p>
        </w:tc>
      </w:tr>
      <w:tr w:rsidR="00E22052" w:rsidTr="00E22052">
        <w:trPr>
          <w:cantSplit/>
        </w:trPr>
        <w:tc>
          <w:tcPr>
            <w:tcW w:w="9645" w:type="dxa"/>
            <w:hideMark/>
          </w:tcPr>
          <w:p w:rsidR="00E22052" w:rsidRDefault="00E2205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ЖИТОМИРСЬКОЇ  ОБЛАСТІ</w:t>
            </w:r>
          </w:p>
          <w:p w:rsidR="00E22052" w:rsidRDefault="00E22052">
            <w:pPr>
              <w:pStyle w:val="5"/>
              <w:spacing w:line="276" w:lineRule="auto"/>
              <w:rPr>
                <w:b w:val="0"/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701, м"/>
              </w:smartTagPr>
              <w:r>
                <w:rPr>
                  <w:b w:val="0"/>
                  <w:sz w:val="20"/>
                  <w:lang w:val="uk-UA"/>
                </w:rPr>
                <w:t xml:space="preserve">11701, </w:t>
              </w:r>
              <w:proofErr w:type="spellStart"/>
              <w:r>
                <w:rPr>
                  <w:b w:val="0"/>
                  <w:sz w:val="20"/>
                  <w:lang w:val="uk-UA"/>
                </w:rPr>
                <w:t>м</w:t>
              </w:r>
            </w:smartTag>
            <w:r>
              <w:rPr>
                <w:b w:val="0"/>
                <w:sz w:val="20"/>
                <w:lang w:val="uk-UA"/>
              </w:rPr>
              <w:t>.Новоград-Волинський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20"/>
                <w:lang w:val="uk-UA"/>
              </w:rPr>
              <w:t>вул.Шевченка</w:t>
            </w:r>
            <w:proofErr w:type="spellEnd"/>
            <w:r>
              <w:rPr>
                <w:b w:val="0"/>
                <w:sz w:val="20"/>
                <w:lang w:val="uk-UA"/>
              </w:rPr>
              <w:t xml:space="preserve">, 16, т.(8-04141) 5-31-97, ф.5-30-52, </w:t>
            </w:r>
          </w:p>
          <w:p w:rsidR="00E22052" w:rsidRDefault="00E22052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е-</w:t>
            </w:r>
            <w:r>
              <w:rPr>
                <w:lang w:val="en-US"/>
              </w:rPr>
              <w:t>mail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lang w:val="en-US"/>
              </w:rPr>
              <w:t>nvrada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nv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rPr>
                <w:lang w:val="uk-UA"/>
              </w:rPr>
              <w:t>.</w:t>
            </w:r>
            <w:r>
              <w:rPr>
                <w:lang w:val="en-US"/>
              </w:rPr>
              <w:t>com</w:t>
            </w:r>
          </w:p>
        </w:tc>
      </w:tr>
      <w:tr w:rsidR="00E22052" w:rsidTr="00E22052">
        <w:trPr>
          <w:cantSplit/>
        </w:trPr>
        <w:tc>
          <w:tcPr>
            <w:tcW w:w="964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22052" w:rsidRDefault="00E22052">
            <w:pPr>
              <w:tabs>
                <w:tab w:val="left" w:pos="270"/>
              </w:tabs>
              <w:spacing w:line="276" w:lineRule="auto"/>
              <w:rPr>
                <w:lang w:val="uk-UA"/>
              </w:rPr>
            </w:pPr>
          </w:p>
          <w:p w:rsidR="00E22052" w:rsidRDefault="00E22052">
            <w:pPr>
              <w:tabs>
                <w:tab w:val="left" w:pos="27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 №__________</w:t>
            </w:r>
          </w:p>
        </w:tc>
      </w:tr>
    </w:tbl>
    <w:p w:rsidR="00E22052" w:rsidRDefault="00E22052" w:rsidP="00E22052">
      <w:pPr>
        <w:tabs>
          <w:tab w:val="left" w:pos="270"/>
          <w:tab w:val="left" w:pos="4678"/>
          <w:tab w:val="center" w:pos="5529"/>
        </w:tabs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E22052" w:rsidRDefault="00E22052" w:rsidP="00E22052">
      <w:pPr>
        <w:pStyle w:val="a5"/>
        <w:ind w:left="4536" w:firstLine="420"/>
        <w:jc w:val="both"/>
      </w:pPr>
      <w:bookmarkStart w:id="0" w:name="_GoBack"/>
      <w:bookmarkEnd w:id="0"/>
      <w:proofErr w:type="spellStart"/>
      <w:r>
        <w:rPr>
          <w:lang w:val="ru-RU"/>
        </w:rPr>
        <w:t>Прем'є</w:t>
      </w:r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 xml:space="preserve"> – </w:t>
      </w:r>
      <w:proofErr w:type="spellStart"/>
      <w:r>
        <w:rPr>
          <w:lang w:val="ru-RU"/>
        </w:rPr>
        <w:t>міністру</w:t>
      </w:r>
      <w:proofErr w:type="spellEnd"/>
      <w:r>
        <w:rPr>
          <w:lang w:val="ru-RU"/>
        </w:rPr>
        <w:t xml:space="preserve"> </w:t>
      </w:r>
      <w:r>
        <w:t xml:space="preserve">України </w:t>
      </w:r>
    </w:p>
    <w:p w:rsidR="00E22052" w:rsidRDefault="00E22052" w:rsidP="00E22052">
      <w:pPr>
        <w:pStyle w:val="a5"/>
        <w:ind w:left="4536" w:firstLine="420"/>
        <w:jc w:val="both"/>
      </w:pPr>
      <w:proofErr w:type="spellStart"/>
      <w:r>
        <w:t>Гройсману</w:t>
      </w:r>
      <w:proofErr w:type="spellEnd"/>
      <w:r>
        <w:t xml:space="preserve"> В.Б.</w:t>
      </w:r>
    </w:p>
    <w:p w:rsidR="00E22052" w:rsidRDefault="00E22052" w:rsidP="00E22052">
      <w:pPr>
        <w:pStyle w:val="a5"/>
        <w:ind w:left="4536"/>
        <w:jc w:val="both"/>
        <w:rPr>
          <w:b w:val="0"/>
        </w:rPr>
      </w:pPr>
    </w:p>
    <w:p w:rsidR="00E22052" w:rsidRDefault="00E22052" w:rsidP="00E22052">
      <w:pPr>
        <w:tabs>
          <w:tab w:val="left" w:pos="9356"/>
        </w:tabs>
        <w:ind w:left="5103" w:right="-1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2052" w:rsidRDefault="00E22052" w:rsidP="00E22052">
      <w:pPr>
        <w:tabs>
          <w:tab w:val="left" w:pos="9356"/>
        </w:tabs>
        <w:ind w:right="-1"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E22052" w:rsidRDefault="00E22052" w:rsidP="00E22052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депутатів  Новоград-Волинської районної ради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 екологічного стану басейну річок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 Случ</w:t>
      </w:r>
    </w:p>
    <w:p w:rsidR="00E22052" w:rsidRDefault="00E22052" w:rsidP="00E22052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E22052" w:rsidRDefault="00E22052" w:rsidP="00E22052">
      <w:pPr>
        <w:shd w:val="clear" w:color="auto" w:fill="FFFFFF"/>
        <w:spacing w:line="270" w:lineRule="atLeast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274F32" w:rsidRDefault="00E22052" w:rsidP="00E22052">
      <w:pPr>
        <w:shd w:val="clear" w:color="auto" w:fill="FFFFFF"/>
        <w:spacing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смт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Понінка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Хмельницької області розташоване та здійснює свою діяльність ТОВ «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Понінківська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картонно-паперова фабрика - Україна», яке починаючи з лютого 2016 року робить скиди в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р.Хомора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14.04.2016 року було виявлено масову загибель риби та бобрів в р. Случ (р.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впадає в р. Случ в районі с. Стара Гута,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Баранівського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району, Житомирської області). 10.05.2017 знову було зафіксовано  погіршення екологічного стану річок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 Случ, що супроводжувалося зміною запаху води, появою загиблої риби та маслянистої речовини на дні річок. 09.06.2017 року відбулося спільне засідання Хмельницької та Житомирської Регіональних комісій техногенно-екологічної безпеки і надзвичайних ситуацій під час якої були розроблені спільні заходи щодо запобігання</w:t>
      </w:r>
      <w:r w:rsid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забруднення річок </w:t>
      </w:r>
      <w:proofErr w:type="spellStart"/>
      <w:r w:rsid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Хомора</w:t>
      </w:r>
      <w:proofErr w:type="spellEnd"/>
      <w:r w:rsid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та Случ (копія протокольного рішення №6/7 від 09.06.2017 року додається). Однак 12 та 30 квітня 2019 року знову було виявлено масову загибель риби в р. Случ. Відповідно до експертного висновку Науково-дослідної лабораторії порівняльної біохімії і молекулярної біології Тернопільського національного педагогічного університету ім. В. Гнатюка забруднення річок здійснюється саме ТОВ «</w:t>
      </w:r>
      <w:proofErr w:type="spellStart"/>
      <w:r w:rsid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Понінківська</w:t>
      </w:r>
      <w:proofErr w:type="spellEnd"/>
      <w:r w:rsid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картонно-паперова фабрика - Україна» (копія висновку додається). Доведено, що складники забруднення води є типовими для відходів індустріального виробництва, а їх дія здійснюється тривалий час, що створює небезпеку для споживачів води та екосистеми.</w:t>
      </w:r>
    </w:p>
    <w:p w:rsidR="00274F32" w:rsidRDefault="00274F32" w:rsidP="00E22052">
      <w:pPr>
        <w:shd w:val="clear" w:color="auto" w:fill="FFFFFF"/>
        <w:spacing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Враховуючи вище викладене, просимо Вас терміново скликати Державну комісію з питань техногенно-екологічної безпеки та надзвичайних ситуацій на якій заслухати:</w:t>
      </w:r>
    </w:p>
    <w:p w:rsidR="00274F32" w:rsidRPr="00274F32" w:rsidRDefault="00274F32" w:rsidP="00274F32">
      <w:pPr>
        <w:pStyle w:val="a9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Звіт про виконану роботу Хмельницької та Житомирської регіональних комісій техногенно-екологічної безпеки та надзвичайних ситуацій;</w:t>
      </w:r>
    </w:p>
    <w:p w:rsidR="00C64B43" w:rsidRPr="00C64B43" w:rsidRDefault="00274F32" w:rsidP="00274F32">
      <w:pPr>
        <w:pStyle w:val="a9"/>
        <w:numPr>
          <w:ilvl w:val="0"/>
          <w:numId w:val="1"/>
        </w:num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Визнати дану подію як надзвичайна ситуація природного характеру державного рівня, оскільки забруднення відбувається на території двох областей Хмельницької та Житомирської. Крім того р. Случ протікає по території </w:t>
      </w:r>
      <w:r w:rsidR="00C64B4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івненської області.</w:t>
      </w:r>
    </w:p>
    <w:p w:rsidR="00C64B43" w:rsidRDefault="00C64B43" w:rsidP="00C64B43">
      <w:pPr>
        <w:pStyle w:val="a9"/>
        <w:shd w:val="clear" w:color="auto" w:fill="FFFFFF"/>
        <w:spacing w:line="270" w:lineRule="atLeast"/>
        <w:ind w:left="1211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C64B43" w:rsidRDefault="00274F32" w:rsidP="00C64B4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4F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64B43">
        <w:rPr>
          <w:rFonts w:ascii="Times New Roman" w:hAnsi="Times New Roman"/>
          <w:sz w:val="28"/>
          <w:szCs w:val="28"/>
          <w:lang w:val="uk-UA"/>
        </w:rPr>
        <w:t xml:space="preserve">Звернення прийнято на 20 позачерговій сесії  районної  ради </w:t>
      </w:r>
      <w:r w:rsidR="00C64B43">
        <w:rPr>
          <w:rFonts w:ascii="Times New Roman" w:hAnsi="Times New Roman"/>
          <w:sz w:val="28"/>
          <w:szCs w:val="28"/>
          <w:lang w:val="en-US"/>
        </w:rPr>
        <w:t>VII</w:t>
      </w:r>
      <w:r w:rsidR="00C64B43">
        <w:rPr>
          <w:rFonts w:ascii="Times New Roman" w:hAnsi="Times New Roman"/>
          <w:sz w:val="28"/>
          <w:szCs w:val="28"/>
          <w:lang w:val="uk-UA"/>
        </w:rPr>
        <w:t xml:space="preserve"> скликання  03 травня 2019 року.</w:t>
      </w:r>
    </w:p>
    <w:p w:rsidR="00C64B43" w:rsidRPr="00C64B43" w:rsidRDefault="00C64B43" w:rsidP="00C64B4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B43" w:rsidRDefault="00C64B43" w:rsidP="00C64B43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C64B43" w:rsidRPr="002C39A6" w:rsidRDefault="00C64B43" w:rsidP="00C64B43">
      <w:pPr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22052" w:rsidRDefault="00E22052" w:rsidP="00C64B43">
      <w:pPr>
        <w:pStyle w:val="a9"/>
        <w:shd w:val="clear" w:color="auto" w:fill="FFFFFF"/>
        <w:spacing w:line="270" w:lineRule="atLeast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B43" w:rsidRPr="00C64B43" w:rsidRDefault="00C64B43" w:rsidP="00C64B43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C64B43">
        <w:rPr>
          <w:rFonts w:ascii="Times New Roman" w:hAnsi="Times New Roman"/>
          <w:sz w:val="28"/>
          <w:szCs w:val="28"/>
          <w:lang w:val="uk-UA"/>
        </w:rPr>
        <w:t>Додатки: на 11 аркушах.</w:t>
      </w:r>
    </w:p>
    <w:p w:rsidR="00C64B43" w:rsidRDefault="00C64B43" w:rsidP="00C64B43">
      <w:pPr>
        <w:pStyle w:val="a9"/>
        <w:shd w:val="clear" w:color="auto" w:fill="FFFFFF"/>
        <w:spacing w:line="270" w:lineRule="atLeast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B43" w:rsidRDefault="00C64B43" w:rsidP="00C64B43">
      <w:pPr>
        <w:pStyle w:val="a9"/>
        <w:shd w:val="clear" w:color="auto" w:fill="FFFFFF"/>
        <w:spacing w:line="270" w:lineRule="atLeast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4B43" w:rsidRPr="00A8224A" w:rsidRDefault="00C64B43" w:rsidP="00C64B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Д.В.Рудницький              </w:t>
      </w:r>
    </w:p>
    <w:p w:rsidR="00C64B43" w:rsidRPr="00274F32" w:rsidRDefault="00C64B43" w:rsidP="00C64B43">
      <w:pPr>
        <w:pStyle w:val="a9"/>
        <w:shd w:val="clear" w:color="auto" w:fill="FFFFFF"/>
        <w:spacing w:line="270" w:lineRule="atLeast"/>
        <w:ind w:left="12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1F30" w:rsidRPr="00E22052" w:rsidRDefault="00251F30">
      <w:pPr>
        <w:rPr>
          <w:lang w:val="uk-UA"/>
        </w:rPr>
      </w:pPr>
    </w:p>
    <w:sectPr w:rsidR="00251F30" w:rsidRPr="00E22052" w:rsidSect="00251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3349"/>
    <w:multiLevelType w:val="hybridMultilevel"/>
    <w:tmpl w:val="AFF6DC3A"/>
    <w:lvl w:ilvl="0" w:tplc="88E8B84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052"/>
    <w:rsid w:val="00251F30"/>
    <w:rsid w:val="00274F32"/>
    <w:rsid w:val="0095127F"/>
    <w:rsid w:val="00C64B43"/>
    <w:rsid w:val="00E2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5">
    <w:name w:val="heading 5"/>
    <w:basedOn w:val="a"/>
    <w:next w:val="a"/>
    <w:link w:val="50"/>
    <w:unhideWhenUsed/>
    <w:qFormat/>
    <w:rsid w:val="00E22052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22052"/>
    <w:pPr>
      <w:keepNext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205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E22052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a3">
    <w:name w:val="header"/>
    <w:basedOn w:val="a"/>
    <w:link w:val="a4"/>
    <w:unhideWhenUsed/>
    <w:rsid w:val="00E2205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2205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E22052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220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0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052"/>
    <w:rPr>
      <w:rFonts w:ascii="Tahoma" w:eastAsia="Calibri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274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4</cp:revision>
  <cp:lastPrinted>2019-05-03T13:33:00Z</cp:lastPrinted>
  <dcterms:created xsi:type="dcterms:W3CDTF">2019-05-03T13:03:00Z</dcterms:created>
  <dcterms:modified xsi:type="dcterms:W3CDTF">2019-05-03T14:21:00Z</dcterms:modified>
</cp:coreProperties>
</file>