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Look w:val="04A0"/>
      </w:tblPr>
      <w:tblGrid>
        <w:gridCol w:w="5067"/>
        <w:gridCol w:w="4578"/>
      </w:tblGrid>
      <w:tr w:rsidR="00C30D03" w:rsidTr="00550E97">
        <w:trPr>
          <w:cantSplit/>
        </w:trPr>
        <w:tc>
          <w:tcPr>
            <w:tcW w:w="9648" w:type="dxa"/>
            <w:gridSpan w:val="2"/>
            <w:hideMark/>
          </w:tcPr>
          <w:p w:rsidR="00C30D03" w:rsidRDefault="00C30D03" w:rsidP="00550E97">
            <w:pPr>
              <w:tabs>
                <w:tab w:val="left" w:pos="8115"/>
              </w:tabs>
              <w:jc w:val="right"/>
              <w:rPr>
                <w:rFonts w:eastAsia="Times New Roman"/>
                <w:sz w:val="28"/>
                <w:lang w:val="uk-UA" w:eastAsia="ru-RU"/>
              </w:rPr>
            </w:pPr>
            <w:r>
              <w:rPr>
                <w:rFonts w:eastAsia="Times New Roman"/>
                <w:sz w:val="28"/>
                <w:lang w:val="uk-UA" w:eastAsia="ru-RU"/>
              </w:rPr>
              <w:t xml:space="preserve">                                                               </w:t>
            </w:r>
          </w:p>
          <w:p w:rsidR="00C30D03" w:rsidRDefault="00C30D03" w:rsidP="00550E97">
            <w:pPr>
              <w:tabs>
                <w:tab w:val="left" w:pos="8115"/>
              </w:tabs>
              <w:jc w:val="center"/>
              <w:rPr>
                <w:rFonts w:eastAsia="Times New Roman"/>
                <w:sz w:val="28"/>
                <w:lang w:val="uk-UA" w:eastAsia="ru-RU"/>
              </w:rPr>
            </w:pPr>
            <w:r>
              <w:rPr>
                <w:rFonts w:eastAsia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590550" cy="800100"/>
                  <wp:effectExtent l="19050" t="0" r="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D03" w:rsidTr="00550E97">
        <w:trPr>
          <w:cantSplit/>
        </w:trPr>
        <w:tc>
          <w:tcPr>
            <w:tcW w:w="9648" w:type="dxa"/>
            <w:gridSpan w:val="2"/>
          </w:tcPr>
          <w:p w:rsidR="00C30D03" w:rsidRDefault="00C30D03" w:rsidP="00550E97">
            <w:pPr>
              <w:keepNext/>
              <w:jc w:val="center"/>
              <w:outlineLvl w:val="4"/>
              <w:rPr>
                <w:rFonts w:eastAsia="Times New Roman"/>
                <w:sz w:val="16"/>
                <w:szCs w:val="16"/>
                <w:lang w:val="uk-UA" w:eastAsia="ru-RU"/>
              </w:rPr>
            </w:pPr>
          </w:p>
          <w:p w:rsidR="00C30D03" w:rsidRDefault="00C30D03" w:rsidP="00550E97">
            <w:pPr>
              <w:keepNext/>
              <w:jc w:val="center"/>
              <w:outlineLvl w:val="4"/>
              <w:rPr>
                <w:rFonts w:eastAsia="Times New Roman"/>
                <w:sz w:val="28"/>
                <w:szCs w:val="20"/>
                <w:lang w:val="uk-UA" w:eastAsia="ru-RU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УКРАЇНА</w:t>
            </w:r>
          </w:p>
        </w:tc>
      </w:tr>
      <w:tr w:rsidR="00C30D03" w:rsidTr="00550E97">
        <w:trPr>
          <w:cantSplit/>
        </w:trPr>
        <w:tc>
          <w:tcPr>
            <w:tcW w:w="9648" w:type="dxa"/>
            <w:gridSpan w:val="2"/>
            <w:hideMark/>
          </w:tcPr>
          <w:p w:rsidR="00C30D03" w:rsidRDefault="00C30D03" w:rsidP="00550E97">
            <w:pPr>
              <w:keepNext/>
              <w:jc w:val="center"/>
              <w:outlineLvl w:val="5"/>
              <w:rPr>
                <w:rFonts w:eastAsia="Times New Roman"/>
                <w:b/>
                <w:bCs/>
                <w:sz w:val="28"/>
                <w:szCs w:val="20"/>
                <w:lang w:val="uk-UA" w:eastAsia="ru-RU"/>
              </w:rPr>
            </w:pPr>
            <w:r>
              <w:rPr>
                <w:rFonts w:eastAsia="Times New Roman"/>
                <w:b/>
                <w:bCs/>
                <w:sz w:val="28"/>
                <w:szCs w:val="20"/>
                <w:lang w:eastAsia="ru-RU"/>
              </w:rPr>
              <w:t>НОВОГРАД-ВОЛИНСЬКА РАЙОННА РАДА</w:t>
            </w:r>
          </w:p>
        </w:tc>
      </w:tr>
      <w:tr w:rsidR="00C30D03" w:rsidTr="00550E97">
        <w:trPr>
          <w:cantSplit/>
        </w:trPr>
        <w:tc>
          <w:tcPr>
            <w:tcW w:w="9648" w:type="dxa"/>
            <w:gridSpan w:val="2"/>
            <w:hideMark/>
          </w:tcPr>
          <w:p w:rsidR="00C30D03" w:rsidRDefault="00C30D03" w:rsidP="00550E97">
            <w:pPr>
              <w:keepNext/>
              <w:jc w:val="center"/>
              <w:outlineLvl w:val="4"/>
              <w:rPr>
                <w:rFonts w:eastAsia="Times New Roman"/>
                <w:sz w:val="28"/>
                <w:szCs w:val="20"/>
                <w:lang w:val="uk-UA" w:eastAsia="ru-RU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ЖИТОМИРСЬКОЇ ОБЛАСТІ</w:t>
            </w:r>
          </w:p>
        </w:tc>
      </w:tr>
      <w:tr w:rsidR="00C30D03" w:rsidTr="00550E97">
        <w:trPr>
          <w:cantSplit/>
          <w:trHeight w:val="150"/>
        </w:trPr>
        <w:tc>
          <w:tcPr>
            <w:tcW w:w="9648" w:type="dxa"/>
            <w:gridSpan w:val="2"/>
          </w:tcPr>
          <w:p w:rsidR="00C30D03" w:rsidRDefault="00C30D03" w:rsidP="00550E97">
            <w:pPr>
              <w:keepNext/>
              <w:jc w:val="center"/>
              <w:outlineLvl w:val="4"/>
              <w:rPr>
                <w:rFonts w:eastAsia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C30D03" w:rsidTr="00550E97">
        <w:trPr>
          <w:cantSplit/>
        </w:trPr>
        <w:tc>
          <w:tcPr>
            <w:tcW w:w="9648" w:type="dxa"/>
            <w:gridSpan w:val="2"/>
            <w:hideMark/>
          </w:tcPr>
          <w:p w:rsidR="00C30D03" w:rsidRDefault="00C30D03" w:rsidP="00550E97">
            <w:pPr>
              <w:keepNext/>
              <w:jc w:val="center"/>
              <w:outlineLvl w:val="4"/>
              <w:rPr>
                <w:rFonts w:eastAsia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eastAsia="Times New Roman"/>
                <w:b/>
                <w:sz w:val="28"/>
                <w:szCs w:val="20"/>
                <w:lang w:val="uk-UA" w:eastAsia="ru-RU"/>
              </w:rPr>
              <w:t xml:space="preserve">Р І Ш Е Н </w:t>
            </w:r>
            <w:proofErr w:type="spellStart"/>
            <w:r>
              <w:rPr>
                <w:rFonts w:eastAsia="Times New Roman"/>
                <w:b/>
                <w:sz w:val="28"/>
                <w:szCs w:val="20"/>
                <w:lang w:val="uk-UA" w:eastAsia="ru-RU"/>
              </w:rPr>
              <w:t>Н</w:t>
            </w:r>
            <w:proofErr w:type="spellEnd"/>
            <w:r>
              <w:rPr>
                <w:rFonts w:eastAsia="Times New Roman"/>
                <w:b/>
                <w:sz w:val="28"/>
                <w:szCs w:val="20"/>
                <w:lang w:val="uk-UA" w:eastAsia="ru-RU"/>
              </w:rPr>
              <w:t xml:space="preserve"> Я</w:t>
            </w:r>
          </w:p>
        </w:tc>
      </w:tr>
      <w:tr w:rsidR="00C30D03" w:rsidTr="00550E97">
        <w:trPr>
          <w:cantSplit/>
          <w:trHeight w:val="80"/>
        </w:trPr>
        <w:tc>
          <w:tcPr>
            <w:tcW w:w="9648" w:type="dxa"/>
            <w:gridSpan w:val="2"/>
          </w:tcPr>
          <w:p w:rsidR="00C30D03" w:rsidRDefault="00C30D03" w:rsidP="00550E97">
            <w:pPr>
              <w:keepNext/>
              <w:jc w:val="center"/>
              <w:outlineLvl w:val="4"/>
              <w:rPr>
                <w:rFonts w:eastAsia="Times New Roman"/>
                <w:b/>
                <w:sz w:val="6"/>
                <w:szCs w:val="6"/>
                <w:lang w:val="uk-UA" w:eastAsia="ru-RU"/>
              </w:rPr>
            </w:pPr>
          </w:p>
        </w:tc>
      </w:tr>
      <w:tr w:rsidR="00C30D03" w:rsidTr="00550E97">
        <w:trPr>
          <w:cantSplit/>
        </w:trPr>
        <w:tc>
          <w:tcPr>
            <w:tcW w:w="5069" w:type="dxa"/>
          </w:tcPr>
          <w:p w:rsidR="00C30D03" w:rsidRDefault="00C30D03" w:rsidP="00550E97">
            <w:pPr>
              <w:keepNext/>
              <w:outlineLvl w:val="4"/>
              <w:rPr>
                <w:rFonts w:eastAsia="Times New Roman"/>
                <w:b/>
                <w:bCs/>
                <w:color w:val="000000" w:themeColor="text1"/>
                <w:sz w:val="28"/>
                <w:szCs w:val="20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0"/>
                <w:lang w:val="uk-UA" w:eastAsia="ru-RU"/>
              </w:rPr>
              <w:t xml:space="preserve">Двадцять шоста  сесія  </w:t>
            </w:r>
          </w:p>
          <w:p w:rsidR="00C30D03" w:rsidRDefault="00C30D03" w:rsidP="00550E97">
            <w:pPr>
              <w:keepNext/>
              <w:outlineLvl w:val="4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</w:p>
        </w:tc>
        <w:tc>
          <w:tcPr>
            <w:tcW w:w="4579" w:type="dxa"/>
            <w:hideMark/>
          </w:tcPr>
          <w:p w:rsidR="00C30D03" w:rsidRDefault="00C30D03" w:rsidP="00550E97">
            <w:pPr>
              <w:keepNext/>
              <w:jc w:val="right"/>
              <w:outlineLvl w:val="4"/>
              <w:rPr>
                <w:rFonts w:eastAsia="Times New Roman"/>
                <w:b/>
                <w:bCs/>
                <w:sz w:val="28"/>
                <w:szCs w:val="20"/>
                <w:lang w:val="uk-UA" w:eastAsia="ru-RU"/>
              </w:rPr>
            </w:pPr>
            <w:r>
              <w:rPr>
                <w:rFonts w:eastAsia="Times New Roman"/>
                <w:b/>
                <w:bCs/>
                <w:sz w:val="28"/>
                <w:szCs w:val="20"/>
                <w:lang w:val="uk-UA"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0"/>
                <w:lang w:val="en-US" w:eastAsia="ru-RU"/>
              </w:rPr>
              <w:t>V</w:t>
            </w:r>
            <w:r>
              <w:rPr>
                <w:rFonts w:eastAsia="Times New Roman"/>
                <w:b/>
                <w:bCs/>
                <w:sz w:val="28"/>
                <w:szCs w:val="20"/>
                <w:lang w:val="uk-UA" w:eastAsia="ru-RU"/>
              </w:rPr>
              <w:t>І  скликання</w:t>
            </w:r>
          </w:p>
        </w:tc>
      </w:tr>
      <w:tr w:rsidR="00C30D03" w:rsidTr="00550E97">
        <w:trPr>
          <w:cantSplit/>
        </w:trPr>
        <w:tc>
          <w:tcPr>
            <w:tcW w:w="5069" w:type="dxa"/>
            <w:hideMark/>
          </w:tcPr>
          <w:p w:rsidR="00C30D03" w:rsidRDefault="00C30D03" w:rsidP="00550E97">
            <w:pPr>
              <w:keepNext/>
              <w:outlineLvl w:val="4"/>
              <w:rPr>
                <w:rFonts w:eastAsia="Times New Roman"/>
                <w:b/>
                <w:bCs/>
                <w:color w:val="000000" w:themeColor="text1"/>
                <w:sz w:val="28"/>
                <w:szCs w:val="20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0"/>
                <w:lang w:val="uk-UA" w:eastAsia="ru-RU"/>
              </w:rPr>
              <w:t xml:space="preserve"> від  14  травня  2015 року</w:t>
            </w:r>
          </w:p>
        </w:tc>
        <w:tc>
          <w:tcPr>
            <w:tcW w:w="4579" w:type="dxa"/>
          </w:tcPr>
          <w:p w:rsidR="00C30D03" w:rsidRDefault="00C30D03" w:rsidP="00550E97">
            <w:pPr>
              <w:keepNext/>
              <w:jc w:val="right"/>
              <w:outlineLvl w:val="4"/>
              <w:rPr>
                <w:rFonts w:eastAsia="Times New Roman"/>
                <w:b/>
                <w:bCs/>
                <w:sz w:val="28"/>
                <w:szCs w:val="20"/>
                <w:lang w:val="uk-UA" w:eastAsia="ru-RU"/>
              </w:rPr>
            </w:pPr>
          </w:p>
        </w:tc>
      </w:tr>
    </w:tbl>
    <w:p w:rsidR="00C30D03" w:rsidRDefault="00C30D03" w:rsidP="00C30D03">
      <w:pPr>
        <w:jc w:val="both"/>
        <w:rPr>
          <w:rFonts w:eastAsia="Times New Roman"/>
          <w:b/>
          <w:sz w:val="16"/>
          <w:szCs w:val="16"/>
          <w:lang w:val="uk-UA" w:eastAsia="ru-RU"/>
        </w:rPr>
      </w:pPr>
    </w:p>
    <w:p w:rsidR="00C30D03" w:rsidRDefault="00C30D03" w:rsidP="00C30D03">
      <w:pPr>
        <w:keepNext/>
        <w:outlineLvl w:val="4"/>
        <w:rPr>
          <w:rFonts w:eastAsia="Times New Roman"/>
          <w:b/>
          <w:sz w:val="28"/>
          <w:szCs w:val="20"/>
          <w:lang w:val="uk-UA" w:eastAsia="ru-RU"/>
        </w:rPr>
      </w:pPr>
      <w:r>
        <w:rPr>
          <w:rFonts w:eastAsia="Times New Roman"/>
          <w:b/>
          <w:sz w:val="28"/>
          <w:szCs w:val="20"/>
          <w:lang w:val="uk-UA" w:eastAsia="ru-RU"/>
        </w:rPr>
        <w:t xml:space="preserve">Про надання дозволу на списання </w:t>
      </w:r>
    </w:p>
    <w:p w:rsidR="00C30D03" w:rsidRDefault="00CA42BE" w:rsidP="00C30D03">
      <w:pPr>
        <w:keepNext/>
        <w:outlineLvl w:val="4"/>
        <w:rPr>
          <w:rFonts w:eastAsia="Times New Roman"/>
          <w:b/>
          <w:sz w:val="28"/>
          <w:szCs w:val="20"/>
          <w:lang w:val="uk-UA" w:eastAsia="ru-RU"/>
        </w:rPr>
      </w:pPr>
      <w:r>
        <w:rPr>
          <w:rFonts w:eastAsia="Times New Roman"/>
          <w:b/>
          <w:sz w:val="28"/>
          <w:szCs w:val="20"/>
          <w:lang w:val="uk-UA" w:eastAsia="ru-RU"/>
        </w:rPr>
        <w:t>основного засобу, що перебуває</w:t>
      </w:r>
      <w:r w:rsidR="00C30D03">
        <w:rPr>
          <w:rFonts w:eastAsia="Times New Roman"/>
          <w:b/>
          <w:sz w:val="28"/>
          <w:szCs w:val="20"/>
          <w:lang w:val="uk-UA" w:eastAsia="ru-RU"/>
        </w:rPr>
        <w:t xml:space="preserve"> </w:t>
      </w:r>
    </w:p>
    <w:p w:rsidR="00C30D03" w:rsidRDefault="00C30D03" w:rsidP="00C30D03">
      <w:pPr>
        <w:keepNext/>
        <w:outlineLvl w:val="4"/>
        <w:rPr>
          <w:rFonts w:eastAsia="Times New Roman"/>
          <w:b/>
          <w:sz w:val="28"/>
          <w:szCs w:val="20"/>
          <w:lang w:val="uk-UA" w:eastAsia="ru-RU"/>
        </w:rPr>
      </w:pPr>
      <w:r>
        <w:rPr>
          <w:rFonts w:eastAsia="Times New Roman"/>
          <w:b/>
          <w:sz w:val="28"/>
          <w:szCs w:val="20"/>
          <w:lang w:val="uk-UA" w:eastAsia="ru-RU"/>
        </w:rPr>
        <w:t xml:space="preserve">у спільній комунальної власності </w:t>
      </w:r>
    </w:p>
    <w:p w:rsidR="00C30D03" w:rsidRDefault="00C30D03" w:rsidP="00C30D03">
      <w:pPr>
        <w:keepNext/>
        <w:outlineLvl w:val="4"/>
        <w:rPr>
          <w:rFonts w:eastAsia="Times New Roman"/>
          <w:b/>
          <w:sz w:val="28"/>
          <w:szCs w:val="20"/>
          <w:lang w:val="uk-UA" w:eastAsia="ru-RU"/>
        </w:rPr>
      </w:pPr>
      <w:r>
        <w:rPr>
          <w:rFonts w:eastAsia="Times New Roman"/>
          <w:b/>
          <w:sz w:val="28"/>
          <w:szCs w:val="20"/>
          <w:lang w:val="uk-UA" w:eastAsia="ru-RU"/>
        </w:rPr>
        <w:t xml:space="preserve">територіальних громад сіл, селища району </w:t>
      </w:r>
    </w:p>
    <w:p w:rsidR="00C30D03" w:rsidRDefault="00C30D03" w:rsidP="00C30D03">
      <w:pPr>
        <w:ind w:firstLine="900"/>
        <w:jc w:val="both"/>
        <w:rPr>
          <w:rFonts w:eastAsia="Times New Roman"/>
          <w:sz w:val="16"/>
          <w:szCs w:val="16"/>
          <w:lang w:val="uk-UA" w:eastAsia="ru-RU"/>
        </w:rPr>
      </w:pPr>
    </w:p>
    <w:p w:rsidR="00C30D03" w:rsidRDefault="00C30D03" w:rsidP="00C30D03">
      <w:pPr>
        <w:keepNext/>
        <w:ind w:firstLine="900"/>
        <w:jc w:val="both"/>
        <w:outlineLvl w:val="4"/>
        <w:rPr>
          <w:rFonts w:eastAsia="Times New Roman"/>
          <w:b/>
          <w:sz w:val="28"/>
          <w:szCs w:val="20"/>
          <w:lang w:val="uk-UA" w:eastAsia="ru-RU"/>
        </w:rPr>
      </w:pPr>
      <w:r>
        <w:rPr>
          <w:rFonts w:eastAsia="Times New Roman"/>
          <w:sz w:val="28"/>
          <w:szCs w:val="20"/>
          <w:lang w:val="uk-UA" w:eastAsia="ru-RU"/>
        </w:rPr>
        <w:t xml:space="preserve">Відповідно до ст. ст. 43, 60 Закону України </w:t>
      </w:r>
      <w:proofErr w:type="spellStart"/>
      <w:r>
        <w:rPr>
          <w:rFonts w:eastAsia="Times New Roman"/>
          <w:sz w:val="28"/>
          <w:szCs w:val="20"/>
          <w:lang w:val="uk-UA" w:eastAsia="ru-RU"/>
        </w:rPr>
        <w:t>“Про</w:t>
      </w:r>
      <w:proofErr w:type="spellEnd"/>
      <w:r>
        <w:rPr>
          <w:rFonts w:eastAsia="Times New Roman"/>
          <w:sz w:val="28"/>
          <w:szCs w:val="20"/>
          <w:lang w:val="uk-UA" w:eastAsia="ru-RU"/>
        </w:rPr>
        <w:t xml:space="preserve"> місцеве самоврядування в </w:t>
      </w:r>
      <w:proofErr w:type="spellStart"/>
      <w:r>
        <w:rPr>
          <w:rFonts w:eastAsia="Times New Roman"/>
          <w:sz w:val="28"/>
          <w:szCs w:val="20"/>
          <w:lang w:val="uk-UA" w:eastAsia="ru-RU"/>
        </w:rPr>
        <w:t>Україні”</w:t>
      </w:r>
      <w:proofErr w:type="spellEnd"/>
      <w:r>
        <w:rPr>
          <w:rFonts w:eastAsia="Times New Roman"/>
          <w:sz w:val="28"/>
          <w:szCs w:val="20"/>
          <w:lang w:val="uk-UA" w:eastAsia="ru-RU"/>
        </w:rPr>
        <w:t>, враховуючи клопотання районної державної адміністрації, висновки спеціаліста від 27.03.2015 року щодо непридатності та недоцільності подальшого використання майна що перебуває у спільній комунальної власності територіальних громад сіл, селища району та рекомендацій постійної комісії з питань бюджету, комунальної власності, транспорту та зв’язку, районна рада</w:t>
      </w:r>
    </w:p>
    <w:p w:rsidR="00C30D03" w:rsidRDefault="00C30D03" w:rsidP="00C30D03">
      <w:pPr>
        <w:rPr>
          <w:rFonts w:eastAsia="Times New Roman"/>
          <w:b/>
          <w:bCs/>
          <w:sz w:val="16"/>
          <w:szCs w:val="16"/>
          <w:lang w:val="uk-UA" w:eastAsia="ru-RU"/>
        </w:rPr>
      </w:pPr>
    </w:p>
    <w:p w:rsidR="00C30D03" w:rsidRDefault="00C30D03" w:rsidP="00C30D03">
      <w:pPr>
        <w:rPr>
          <w:rFonts w:eastAsia="Times New Roman"/>
          <w:b/>
          <w:bCs/>
          <w:sz w:val="28"/>
          <w:lang w:val="uk-UA" w:eastAsia="ru-RU"/>
        </w:rPr>
      </w:pPr>
      <w:r>
        <w:rPr>
          <w:rFonts w:eastAsia="Times New Roman"/>
          <w:b/>
          <w:bCs/>
          <w:sz w:val="28"/>
          <w:lang w:val="uk-UA" w:eastAsia="ru-RU"/>
        </w:rPr>
        <w:t>ВИРІШИЛА:</w:t>
      </w:r>
    </w:p>
    <w:p w:rsidR="00C30D03" w:rsidRPr="00DF225F" w:rsidRDefault="00C30D03" w:rsidP="00C30D03">
      <w:pPr>
        <w:pStyle w:val="a3"/>
        <w:keepNext/>
        <w:numPr>
          <w:ilvl w:val="0"/>
          <w:numId w:val="1"/>
        </w:numPr>
        <w:jc w:val="both"/>
        <w:outlineLvl w:val="4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B02A7C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Надати дозвіл </w:t>
      </w:r>
      <w:r w:rsidR="00E43C31" w:rsidRPr="00B02A7C">
        <w:rPr>
          <w:rFonts w:eastAsia="Times New Roman"/>
          <w:color w:val="000000" w:themeColor="text1"/>
          <w:sz w:val="28"/>
          <w:szCs w:val="28"/>
          <w:lang w:val="uk-UA" w:eastAsia="ru-RU"/>
        </w:rPr>
        <w:t>відділу</w:t>
      </w:r>
      <w:r w:rsidRPr="00B02A7C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освіти райдержадміністрації на списання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основного засобу, зокрема: </w:t>
      </w:r>
    </w:p>
    <w:p w:rsidR="00C30D03" w:rsidRPr="00E43C31" w:rsidRDefault="00C30D03" w:rsidP="00C30D03">
      <w:pPr>
        <w:pStyle w:val="a3"/>
        <w:keepNext/>
        <w:ind w:left="840"/>
        <w:jc w:val="both"/>
        <w:outlineLvl w:val="4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C30D03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- 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>транспортного засобу – ЗИЛ 131, реєстраційний номер 3220 ІОВ</w:t>
      </w:r>
      <w:r w:rsidR="00E43C31">
        <w:rPr>
          <w:rFonts w:eastAsia="Times New Roman"/>
          <w:color w:val="000000" w:themeColor="text1"/>
          <w:sz w:val="28"/>
          <w:szCs w:val="28"/>
          <w:lang w:val="uk-UA" w:eastAsia="ru-RU"/>
        </w:rPr>
        <w:t>, ідентифікаційний номер (VIN) шасі 0910128, 1991 року випуску,вантажний, колір зелений, балансовою вартістю 11 226, 00 (одинадцять тисяч двісті двадцять шість грн.. 00 коп.), який перебуває на утриманні Городницької ЗОШ І-ІІІ ст.</w:t>
      </w:r>
    </w:p>
    <w:p w:rsidR="00C30D03" w:rsidRPr="00B02A7C" w:rsidRDefault="00E43C31" w:rsidP="00C30D03">
      <w:pPr>
        <w:pStyle w:val="a3"/>
        <w:keepNext/>
        <w:ind w:left="0" w:firstLine="426"/>
        <w:jc w:val="both"/>
        <w:outlineLvl w:val="4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>Даний транспортний засіб</w:t>
      </w:r>
      <w:r w:rsidR="00A73F54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знаходи</w:t>
      </w:r>
      <w:r w:rsidR="00C30D03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ться в аварійному стані, </w:t>
      </w:r>
      <w:r w:rsidR="00C30D03" w:rsidRPr="00B02A7C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непридатн</w:t>
      </w:r>
      <w:r w:rsidR="00485247">
        <w:rPr>
          <w:rFonts w:eastAsia="Times New Roman"/>
          <w:color w:val="000000" w:themeColor="text1"/>
          <w:sz w:val="28"/>
          <w:szCs w:val="28"/>
          <w:lang w:val="uk-UA" w:eastAsia="ru-RU"/>
        </w:rPr>
        <w:t>ий</w:t>
      </w:r>
      <w:r w:rsidR="00C30D03" w:rsidRPr="00B02A7C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для подальшого використання, відновлюваний ремонт економічно недоцільний. </w:t>
      </w:r>
    </w:p>
    <w:p w:rsidR="00C30D03" w:rsidRDefault="00C30D03" w:rsidP="00C30D03">
      <w:pPr>
        <w:ind w:firstLine="567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2. </w:t>
      </w:r>
      <w:proofErr w:type="spellStart"/>
      <w:r>
        <w:rPr>
          <w:rFonts w:eastAsia="Times New Roman"/>
          <w:color w:val="000000" w:themeColor="text1"/>
          <w:sz w:val="28"/>
          <w:szCs w:val="28"/>
          <w:lang w:eastAsia="ru-RU"/>
        </w:rPr>
        <w:t>Списання</w:t>
      </w:r>
      <w:proofErr w:type="spellEnd"/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 w:val="28"/>
          <w:szCs w:val="28"/>
          <w:lang w:eastAsia="ru-RU"/>
        </w:rPr>
        <w:t>основн</w:t>
      </w:r>
      <w:r w:rsidR="00E43C31">
        <w:rPr>
          <w:rFonts w:eastAsia="Times New Roman"/>
          <w:color w:val="000000" w:themeColor="text1"/>
          <w:sz w:val="28"/>
          <w:szCs w:val="28"/>
          <w:lang w:val="uk-UA" w:eastAsia="ru-RU"/>
        </w:rPr>
        <w:t>ого</w:t>
      </w:r>
      <w:proofErr w:type="spellEnd"/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 w:val="28"/>
          <w:szCs w:val="28"/>
          <w:lang w:eastAsia="ru-RU"/>
        </w:rPr>
        <w:t>засоб</w:t>
      </w:r>
      <w:proofErr w:type="spellEnd"/>
      <w:r w:rsidR="00E43C31">
        <w:rPr>
          <w:rFonts w:eastAsia="Times New Roman"/>
          <w:color w:val="000000" w:themeColor="text1"/>
          <w:sz w:val="28"/>
          <w:szCs w:val="28"/>
          <w:lang w:val="uk-UA" w:eastAsia="ru-RU"/>
        </w:rPr>
        <w:t>у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 w:val="28"/>
          <w:szCs w:val="28"/>
          <w:lang w:eastAsia="ru-RU"/>
        </w:rPr>
        <w:t>оформити</w:t>
      </w:r>
      <w:proofErr w:type="spellEnd"/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 w:val="28"/>
          <w:szCs w:val="28"/>
          <w:lang w:eastAsia="ru-RU"/>
        </w:rPr>
        <w:t>відповідно</w:t>
      </w:r>
      <w:proofErr w:type="spellEnd"/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color w:val="000000" w:themeColor="text1"/>
          <w:sz w:val="28"/>
          <w:szCs w:val="28"/>
          <w:lang w:eastAsia="ru-RU"/>
        </w:rPr>
        <w:t>до</w:t>
      </w:r>
      <w:proofErr w:type="gramEnd"/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чинного </w:t>
      </w:r>
      <w:proofErr w:type="spellStart"/>
      <w:r>
        <w:rPr>
          <w:rFonts w:eastAsia="Times New Roman"/>
          <w:color w:val="000000" w:themeColor="text1"/>
          <w:sz w:val="28"/>
          <w:szCs w:val="28"/>
          <w:lang w:eastAsia="ru-RU"/>
        </w:rPr>
        <w:t>законодавства</w:t>
      </w:r>
      <w:proofErr w:type="spellEnd"/>
      <w:r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C30D03" w:rsidRDefault="00C30D03" w:rsidP="00C30D03">
      <w:pPr>
        <w:spacing w:after="120"/>
        <w:ind w:firstLine="540"/>
        <w:jc w:val="both"/>
        <w:rPr>
          <w:rFonts w:eastAsia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>3.</w:t>
      </w: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Контроль за  </w:t>
      </w:r>
      <w:proofErr w:type="spellStart"/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>виконанням</w:t>
      </w:r>
      <w:proofErr w:type="spellEnd"/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>рішення</w:t>
      </w:r>
      <w:proofErr w:type="spellEnd"/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>покласти</w:t>
      </w:r>
      <w:proofErr w:type="spellEnd"/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>постійну</w:t>
      </w:r>
      <w:proofErr w:type="spellEnd"/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>комісію</w:t>
      </w:r>
      <w:proofErr w:type="spellEnd"/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 w:val="28"/>
          <w:szCs w:val="28"/>
          <w:lang w:eastAsia="ru-RU"/>
        </w:rPr>
        <w:t>з</w:t>
      </w:r>
      <w:proofErr w:type="spellEnd"/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 w:val="28"/>
          <w:szCs w:val="28"/>
          <w:lang w:eastAsia="ru-RU"/>
        </w:rPr>
        <w:t>питань</w:t>
      </w:r>
      <w:proofErr w:type="spellEnd"/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бюджету, </w:t>
      </w:r>
      <w:proofErr w:type="spellStart"/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>комунальної</w:t>
      </w:r>
      <w:proofErr w:type="spellEnd"/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>власності</w:t>
      </w:r>
      <w:proofErr w:type="spellEnd"/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, транспорту та  </w:t>
      </w:r>
      <w:proofErr w:type="spellStart"/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>зв’язку</w:t>
      </w:r>
      <w:proofErr w:type="spellEnd"/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C30D03" w:rsidRDefault="00C30D03" w:rsidP="00485247">
      <w:pPr>
        <w:spacing w:after="120"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:rsidR="00C30D03" w:rsidRDefault="00485247" w:rsidP="00C30D03">
      <w:pPr>
        <w:spacing w:after="120"/>
        <w:ind w:firstLine="540"/>
        <w:jc w:val="both"/>
        <w:rPr>
          <w:rFonts w:eastAsia="Times New Roman"/>
          <w:b/>
          <w:bCs/>
          <w:sz w:val="28"/>
          <w:szCs w:val="28"/>
          <w:lang w:val="uk-UA" w:eastAsia="ru-RU"/>
        </w:rPr>
      </w:pPr>
      <w:r>
        <w:rPr>
          <w:rFonts w:eastAsia="Times New Roman"/>
          <w:b/>
          <w:sz w:val="28"/>
          <w:szCs w:val="28"/>
          <w:lang w:val="uk-UA" w:eastAsia="ru-RU"/>
        </w:rPr>
        <w:t>Заступник голови</w:t>
      </w:r>
      <w:r w:rsidR="00C30D03">
        <w:rPr>
          <w:rFonts w:eastAsia="Times New Roman"/>
          <w:b/>
          <w:sz w:val="28"/>
          <w:szCs w:val="28"/>
          <w:lang w:val="uk-UA" w:eastAsia="ru-RU"/>
        </w:rPr>
        <w:t xml:space="preserve"> районної ради            </w:t>
      </w:r>
      <w:r>
        <w:rPr>
          <w:rFonts w:eastAsia="Times New Roman"/>
          <w:b/>
          <w:sz w:val="28"/>
          <w:szCs w:val="28"/>
          <w:lang w:val="uk-UA" w:eastAsia="ru-RU"/>
        </w:rPr>
        <w:t xml:space="preserve">               Д.В.Рудницький</w:t>
      </w:r>
      <w:r w:rsidR="00C30D03">
        <w:rPr>
          <w:rFonts w:eastAsia="Times New Roman"/>
          <w:b/>
          <w:sz w:val="28"/>
          <w:szCs w:val="28"/>
          <w:lang w:val="uk-UA" w:eastAsia="ru-RU"/>
        </w:rPr>
        <w:t xml:space="preserve">              </w:t>
      </w:r>
    </w:p>
    <w:p w:rsidR="008A390C" w:rsidRPr="00C30D03" w:rsidRDefault="008A390C">
      <w:pPr>
        <w:rPr>
          <w:lang w:val="uk-UA"/>
        </w:rPr>
      </w:pPr>
    </w:p>
    <w:sectPr w:rsidR="008A390C" w:rsidRPr="00C30D03" w:rsidSect="008A3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17695"/>
    <w:multiLevelType w:val="hybridMultilevel"/>
    <w:tmpl w:val="4D88DEAA"/>
    <w:lvl w:ilvl="0" w:tplc="A0AA2A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C30D03"/>
    <w:rsid w:val="000E334C"/>
    <w:rsid w:val="00485247"/>
    <w:rsid w:val="008A390C"/>
    <w:rsid w:val="00A73F54"/>
    <w:rsid w:val="00C30D03"/>
    <w:rsid w:val="00CA42BE"/>
    <w:rsid w:val="00E4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03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D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0D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D0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Zzzzz</dc:creator>
  <cp:lastModifiedBy>Zzzzz</cp:lastModifiedBy>
  <cp:revision>3</cp:revision>
  <cp:lastPrinted>2015-05-08T06:27:00Z</cp:lastPrinted>
  <dcterms:created xsi:type="dcterms:W3CDTF">2015-05-08T06:05:00Z</dcterms:created>
  <dcterms:modified xsi:type="dcterms:W3CDTF">2015-05-12T06:05:00Z</dcterms:modified>
</cp:coreProperties>
</file>