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5F" w:rsidRPr="0006755F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27797C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</w:t>
      </w:r>
      <w:r w:rsidR="00277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Новоград-Волинської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районної ради 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______________________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05DE4">
        <w:rPr>
          <w:rFonts w:ascii="Times New Roman" w:hAnsi="Times New Roman"/>
          <w:b/>
          <w:sz w:val="32"/>
          <w:szCs w:val="32"/>
        </w:rPr>
        <w:t xml:space="preserve">ПРОГРАМА РОЗВИТКУ </w:t>
      </w:r>
      <w:r w:rsidRPr="00305DE4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305DE4">
        <w:rPr>
          <w:rFonts w:ascii="Times New Roman" w:hAnsi="Times New Roman"/>
          <w:b/>
          <w:sz w:val="32"/>
          <w:szCs w:val="32"/>
        </w:rPr>
        <w:t xml:space="preserve"> </w:t>
      </w:r>
      <w:r w:rsidR="0006755F" w:rsidRPr="000675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ФІНАНСОВОЇ ПІДТРИМКИ </w:t>
      </w: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  <w:t>комунальноГО некомерційноГО підприємствА</w:t>
      </w:r>
    </w:p>
    <w:p w:rsidR="00305DE4" w:rsidRPr="0006755F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</w:p>
    <w:p w:rsidR="0006755F" w:rsidRPr="00305DE4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305D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305DE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«Новоград-Волинське міськрайонне територіальне медичне об’єднання»</w:t>
      </w: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05DE4" w:rsidRPr="0006755F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6755F" w:rsidRPr="0006755F" w:rsidRDefault="009C7857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20</w:t>
      </w:r>
      <w:r w:rsidR="0006755F" w:rsidRPr="000675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РІК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Новоград-Волинський</w:t>
      </w:r>
    </w:p>
    <w:p w:rsidR="0006755F" w:rsidRPr="009C7857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201</w:t>
      </w:r>
      <w:r w:rsidR="009C785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9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ПАСПОРТ ПРОГРАМИ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387"/>
      </w:tblGrid>
      <w:tr w:rsidR="0006755F" w:rsidRPr="0006755F" w:rsidTr="00F6572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Новоград-Волинська районна державна адміністрація</w:t>
            </w:r>
          </w:p>
        </w:tc>
      </w:tr>
      <w:tr w:rsidR="0006755F" w:rsidRPr="0006755F" w:rsidTr="00F6572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номер і назва розпорядчого документа органу виконавчої влади           про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Новоград-Волинська районна державна адміністрація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фінансів Новоград-Волинської РДА</w:t>
            </w:r>
          </w:p>
        </w:tc>
      </w:tr>
      <w:tr w:rsidR="0006755F" w:rsidRPr="00715CFC" w:rsidTr="00F6572D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КНП </w:t>
            </w:r>
            <w:r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«Новоград-Волинське міськрайонне територіальне медичне об’єднання»</w:t>
            </w:r>
          </w:p>
        </w:tc>
      </w:tr>
      <w:tr w:rsidR="0006755F" w:rsidRPr="0006755F" w:rsidTr="00F6572D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КНП «Новоград-Волинське міськрайонне територіальне медичне об’єднання»</w:t>
            </w:r>
          </w:p>
        </w:tc>
      </w:tr>
      <w:tr w:rsidR="0006755F" w:rsidRPr="0006755F" w:rsidTr="00F6572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9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9C7857"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Державний, місцеві бюджети та інші кошти, не заборонені чинним законодавством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9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</w:t>
            </w:r>
            <w:r w:rsidR="009C7857"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урахуванням потреби на 2020</w:t>
            </w: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E" w:rsidRPr="00DC7F5A" w:rsidRDefault="00DC7F5A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538,7</w:t>
            </w:r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</w:tbl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  <w:r w:rsidRPr="00067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1. Загальні положення.</w:t>
      </w:r>
    </w:p>
    <w:p w:rsidR="0006755F" w:rsidRPr="0006755F" w:rsidRDefault="0006755F" w:rsidP="0006755F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Комунальне некомерційне підприємство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— Підприємство)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створено за рішенням 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Новоград-Волинської районної ради (далі — Засновник) </w:t>
      </w:r>
      <w:r w:rsidRP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441</w:t>
      </w:r>
      <w:r w:rsidRP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24.10.2018р.</w:t>
      </w:r>
      <w:r w:rsidRP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реорганізації (перетворення) комунального закладу</w:t>
      </w:r>
      <w:r w:rsidRPr="000675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675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 і є правонаступником з</w:t>
      </w:r>
      <w:r w:rsidR="00DC7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азначеного комунального закладу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Програмі визначено цілі розвитку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«Новоград-Волинське міськрайонне територіальне медичне об’єднання»,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Новоград-Волинському управлінні державної казначейської служби України в Житомирській області та розрахункові рахунки в установі банку. </w:t>
      </w:r>
    </w:p>
    <w:p w:rsidR="0006755F" w:rsidRPr="0006755F" w:rsidRDefault="0006755F" w:rsidP="0006755F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обслуговує 10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 тисяч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населення, в т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ислі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населення </w:t>
      </w:r>
      <w:r w:rsidR="00DD0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Новоград-Волинського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 – 20,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20,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населення, м. Новограда-Волинського – 57,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56,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ОТГ – 23,5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23,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населення.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штатних посад по КНП «Новоград-Волинське міськрайонне територіальне 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медичне об’єднання» становить 881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одиниць, в т. ч.: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лікарі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195,</w:t>
      </w:r>
      <w:r w:rsidR="009C7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фахівці з базовою та неповною </w:t>
      </w:r>
    </w:p>
    <w:p w:rsidR="0006755F" w:rsidRPr="0006755F" w:rsidRDefault="009C7857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вищою медичною освітою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388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молодший медичний персонал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143,00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алісти (не медики) 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    5,50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9C7857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130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спеціальний фонд (профілактичне відділення №2) — 1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Опис проблеми, на розв’язання якої спрямована програма</w:t>
      </w:r>
      <w:r w:rsidRPr="00067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підприємства «Новоград-Волинське міськрайонне територіальне медичне об’єднання» є надання медичної допомоги, провадження господарської та іншої діяльності відповідно законодавчих актів України.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Матеріально-технічна база </w:t>
      </w:r>
      <w:r w:rsidRPr="009F2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«Новоград-Волинське міськрай ТМО»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 складається з будівель, які використовуються для організації надання вторинної 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медичної допомоги, інженерно-технічного та медичного обладнання, санітарного автотранспорту, яка  потребує значного покращення .</w:t>
      </w:r>
    </w:p>
    <w:p w:rsidR="009F2280" w:rsidRPr="009F2280" w:rsidRDefault="009F2280" w:rsidP="009F228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Існуючі проблеми по матеріально – технічній базі підприємства: </w:t>
      </w:r>
    </w:p>
    <w:p w:rsidR="009F2280" w:rsidRPr="009F2280" w:rsidRDefault="009F2280" w:rsidP="009F2280">
      <w:p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FC1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Незабезпеченість сучасним необхіднім медичним обладнанням</w:t>
      </w:r>
      <w:r w:rsidR="00FC1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>Станом на теперішній час забезпеченість підприємства медичним обладнанням становить 60 %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-70% 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>від потреби, більшість з якого необхідно замінити на обладнання сучасне та більш ефективне для використання в медичній практиці.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1.2. Незадовільний стан інженерних мереж, будівель лікувально-профілактичних закладів. </w:t>
      </w:r>
    </w:p>
    <w:p w:rsidR="009F2280" w:rsidRDefault="009F2280" w:rsidP="009F2280">
      <w:pPr>
        <w:tabs>
          <w:tab w:val="num" w:pos="-142"/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Важливу роль у лікувальному процесі має стан приміщень, в яких перебуває хворий. Для створення комфортних  та безпечних умов перебування хворих в лікувальних закладах необхідно провести капітальні ремонти будівель та інженерних мереж підприємства. </w:t>
      </w:r>
    </w:p>
    <w:p w:rsid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єдиного медичного  інформаційного простору в </w:t>
      </w:r>
      <w:r w:rsidRPr="009F2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«Новоград-Волинське міськрай ТМО»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55F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 медичним закладом для надання вторинної (спеціалізованої) медичної допомоги мешканцям  </w:t>
      </w:r>
      <w:r w:rsidR="0027797C"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Новоград-Волинського району, міста Новоград-Волинський, об’єднаних територіальних громад 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комунальне некомерційне підприємство «Новоград-Волинське міськрайонне територіальне медичне об’єднання». На даний час підприємство є багатопрофільним медичним закладом, забезпечено нео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бхідним кадровим потенціалом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в своєму складі всі необхідні структурні підрозділи для надання висококваліфікованої медичної допомоги.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За даними статистичної звітності поточного року за 10 місяців 201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було проліковано 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11907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пацієнтів у стаціонар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них відділеннях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, проведено 2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851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оперативних </w:t>
      </w:r>
      <w:proofErr w:type="spellStart"/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втручань</w:t>
      </w:r>
      <w:proofErr w:type="spellEnd"/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 тому числі 1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457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ургентних), проліковано </w:t>
      </w:r>
      <w:r w:rsidR="009F228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75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пацієнт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відділенні анестезіології та інтенсивної терапії, здійснено 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337,2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тисяч амбулаторних відвідувань. 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плану ліжко-днів склало </w:t>
      </w:r>
      <w:r w:rsid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1%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Зазначені показники свідчать про високий потенціал структурних підрозділів лікарні та наявний резерв для надання висококваліфікованої медичної допомоги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Мета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метою діяльності комунального некомерційного підприємства «Новоград-Волинське міськрайонне територіальне медичне об’єднання»</w:t>
      </w:r>
      <w:r w:rsidRPr="0006755F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здоров’я, іншої діяльності, розвиток медичної бази шляхом технічного забезпечення.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комунальним некомерційним підприємством «Новоград-Волинське міськрайонне територіальне медичне об’єднання»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даних умовах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кошти медичної субвенції та міських бюджетів на фінансування галузі охорони здоров’я будуть поділятися через новий, сучасний механізм закупівлі медичних послуг.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Відбувається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перехід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фінансування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постатейних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кошторисів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розрахованих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існуючої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кількості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ліжок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персоналу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до оплати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 (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фактично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пролікованих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випадків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приписаного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закладам,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перетворюються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автономних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постачальників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- державні та комунальні некомерційні підприємства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 w:rsidR="005A2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квітня 2020 року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«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не за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в свою чергу створює всі умови для повноцінного розвитку Новоград-Волинського госпітального округу.</w:t>
      </w: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Обґрунтування шляхів розв’язання проблеми, строки виконання програми.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досягнення мети цієї Програми пропонується надання кваліфікованої ургентної та планової стаціонарної і спеціалізованої амбулаторно-поліклінічної допомоги, а також лікувально-профілактичної допомоги у відповідності з договорами про надання медичних послуг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Напрями діяльності та заходи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FE3B07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послуг з виготовлення правовстановлюючих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документів підприємства;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у відповідності до здійснення фінансування з місцевого бюджету шляхом надання фінансової підтримки підприємства;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 лікувального процесу;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створення та оновлення інформаційної бази даних пролікованих хворих у медичному підприємстві;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</w:t>
      </w:r>
      <w:proofErr w:type="spellStart"/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придбання, зберігання, перевезення, відпуск, знищення наркотичних засобів (списку І таблиці II та списку 1 таблиці III), психотропних речовин (списку 2 таблиці II та списку 2 таблиці III) і прекурсорів (списків І та 2 таблиці IV) «Переліку наркотичних засобів, психотропних речовин і прекурсорів»;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стажування лікарів-інтернів згідно з угодами;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монтаж, ремонт і технічне обслуговування медичної техніки, включаючи хірургічне устаткування;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здача майна в оренду, в тому числі нерухомого;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нових методів лікування;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форумах, конференціях, нарадах, семінарах, виставках та інших заходах.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Фінансова підтримка виконання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місцевих бюджетів; 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державного бюджету;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підприємством платних послуг;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джерел фінансування не заборонених законодавством України.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Обсяги фінансування Програми шляхом надання фінансової підтримки на 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(до</w:t>
      </w:r>
      <w:r w:rsidR="00CE2C6D">
        <w:rPr>
          <w:rFonts w:ascii="Times New Roman" w:eastAsia="Times New Roman" w:hAnsi="Times New Roman" w:cs="Times New Roman"/>
          <w:sz w:val="28"/>
          <w:szCs w:val="28"/>
          <w:lang w:val="uk-UA"/>
        </w:rPr>
        <w:t>дат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E2C6D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1).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Звіт про виконання плану використання бюджетних коштів надається комунальним некомерційним підприємством «Новоград-Волинське міськрайонне територіальне медичне об’єднання» до Новоград-Волинського УДКСУ Житомирської області щоквартально.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755F" w:rsidRPr="0006755F" w:rsidRDefault="0006755F" w:rsidP="0006755F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</w:rPr>
        <w:sectPr w:rsidR="0006755F" w:rsidRPr="0006755F" w:rsidSect="00F6572D">
          <w:footerReference w:type="default" r:id="rId7"/>
          <w:pgSz w:w="11906" w:h="16838"/>
          <w:pgMar w:top="709" w:right="566" w:bottom="567" w:left="1260" w:header="709" w:footer="274" w:gutter="0"/>
          <w:cols w:space="708"/>
          <w:docGrid w:linePitch="360"/>
        </w:sectPr>
      </w:pP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55F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06755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259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 w:rsidRPr="0006755F">
        <w:rPr>
          <w:rFonts w:ascii="Times New Roman" w:eastAsia="Times New Roman" w:hAnsi="Times New Roman" w:cs="Times New Roman"/>
          <w:lang w:val="uk-UA"/>
        </w:rPr>
        <w:t xml:space="preserve">Затверджено рішенням </w:t>
      </w:r>
    </w:p>
    <w:p w:rsidR="0006755F" w:rsidRPr="0006755F" w:rsidRDefault="00614259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Новоград-Волинської </w:t>
      </w:r>
      <w:r w:rsidR="0006755F" w:rsidRPr="0006755F">
        <w:rPr>
          <w:rFonts w:ascii="Times New Roman" w:eastAsia="Times New Roman" w:hAnsi="Times New Roman" w:cs="Times New Roman"/>
          <w:lang w:val="uk-UA"/>
        </w:rPr>
        <w:t>районної ради</w:t>
      </w: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 w:rsidRPr="0006755F">
        <w:rPr>
          <w:rFonts w:ascii="Times New Roman" w:eastAsia="Times New Roman" w:hAnsi="Times New Roman" w:cs="Times New Roman"/>
          <w:lang w:val="uk-UA"/>
        </w:rPr>
        <w:t xml:space="preserve">від </w:t>
      </w:r>
      <w:r w:rsidR="00614259">
        <w:rPr>
          <w:rFonts w:ascii="Times New Roman" w:eastAsia="Times New Roman" w:hAnsi="Times New Roman" w:cs="Times New Roman"/>
          <w:lang w:val="uk-UA"/>
        </w:rPr>
        <w:t>_______ 201</w:t>
      </w:r>
      <w:r w:rsidR="005A2577">
        <w:rPr>
          <w:rFonts w:ascii="Times New Roman" w:eastAsia="Times New Roman" w:hAnsi="Times New Roman" w:cs="Times New Roman"/>
          <w:lang w:val="uk-UA"/>
        </w:rPr>
        <w:t>9</w:t>
      </w:r>
      <w:r w:rsidRPr="0006755F">
        <w:rPr>
          <w:rFonts w:ascii="Times New Roman" w:eastAsia="Times New Roman" w:hAnsi="Times New Roman" w:cs="Times New Roman"/>
          <w:lang w:val="uk-UA"/>
        </w:rPr>
        <w:t xml:space="preserve"> року №</w:t>
      </w:r>
      <w:r w:rsidR="00614259">
        <w:rPr>
          <w:rFonts w:ascii="Times New Roman" w:eastAsia="Times New Roman" w:hAnsi="Times New Roman" w:cs="Times New Roman"/>
          <w:lang w:val="uk-UA"/>
        </w:rPr>
        <w:t xml:space="preserve"> _____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954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</w:t>
      </w:r>
      <w:r w:rsidR="00DB6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комунального некомерційного підприємства 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 на 20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9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8"/>
        <w:gridCol w:w="5652"/>
        <w:gridCol w:w="1418"/>
        <w:gridCol w:w="3224"/>
        <w:gridCol w:w="2693"/>
      </w:tblGrid>
      <w:tr w:rsidR="0006755F" w:rsidRPr="0006755F" w:rsidTr="003F45FA">
        <w:trPr>
          <w:trHeight w:val="829"/>
        </w:trPr>
        <w:tc>
          <w:tcPr>
            <w:tcW w:w="548" w:type="dxa"/>
          </w:tcPr>
          <w:p w:rsidR="0006755F" w:rsidRPr="0006755F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28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напряму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діяльності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пріоритетні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завдання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652" w:type="dxa"/>
          </w:tcPr>
          <w:p w:rsidR="0006755F" w:rsidRPr="00891A7D" w:rsidRDefault="0006755F" w:rsidP="00F6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Перелік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заходів</w:t>
            </w:r>
            <w:proofErr w:type="spellEnd"/>
            <w:r w:rsidR="00F6572D"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, 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програми</w:t>
            </w:r>
            <w:proofErr w:type="spellEnd"/>
          </w:p>
        </w:tc>
        <w:tc>
          <w:tcPr>
            <w:tcW w:w="1418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Строк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заходу</w:t>
            </w:r>
          </w:p>
        </w:tc>
        <w:tc>
          <w:tcPr>
            <w:tcW w:w="3224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Джерела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фінансування</w:t>
            </w:r>
            <w:proofErr w:type="spellEnd"/>
          </w:p>
        </w:tc>
        <w:tc>
          <w:tcPr>
            <w:tcW w:w="2693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Орієнтовні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фінансування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вартість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),</w:t>
            </w:r>
          </w:p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</w:t>
            </w:r>
            <w:proofErr w:type="spellStart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</w:t>
            </w:r>
            <w:proofErr w:type="spellEnd"/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. грн.</w:t>
            </w:r>
          </w:p>
        </w:tc>
      </w:tr>
      <w:tr w:rsidR="0006755F" w:rsidRPr="0006755F" w:rsidTr="003F45FA">
        <w:trPr>
          <w:trHeight w:val="370"/>
        </w:trPr>
        <w:tc>
          <w:tcPr>
            <w:tcW w:w="548" w:type="dxa"/>
            <w:vMerge w:val="restart"/>
          </w:tcPr>
          <w:p w:rsidR="0006755F" w:rsidRPr="0006755F" w:rsidRDefault="005A2577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6755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755F" w:rsidRPr="00F6572D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Медичні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договорами з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юридичними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особами</w:t>
            </w:r>
            <w:r w:rsidR="00F6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</w:t>
            </w:r>
          </w:p>
          <w:p w:rsidR="0006755F" w:rsidRPr="0006755F" w:rsidRDefault="00F6572D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proofErr w:type="spellStart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едичні</w:t>
            </w:r>
            <w:proofErr w:type="spellEnd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фізичним</w:t>
            </w:r>
            <w:proofErr w:type="spellEnd"/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особам</w:t>
            </w:r>
          </w:p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 w:val="restart"/>
          </w:tcPr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  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заключення договорів з іншими юридичними особами;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розширення видів надання послуг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проведення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профоглядів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працівникам підприємств; 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проведення періодичних оглядів з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видачею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довідок на право користування об’єктами дозвільної системи</w:t>
            </w:r>
          </w:p>
        </w:tc>
        <w:tc>
          <w:tcPr>
            <w:tcW w:w="1418" w:type="dxa"/>
            <w:vMerge w:val="restart"/>
          </w:tcPr>
          <w:p w:rsidR="0006755F" w:rsidRPr="0006755F" w:rsidRDefault="005A2577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  <w:r w:rsidR="0006755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755F" w:rsidRPr="001B7334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755F" w:rsidRPr="001B7334" w:rsidRDefault="001B7334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6755F" w:rsidRPr="0006755F" w:rsidTr="003F45FA">
        <w:trPr>
          <w:trHeight w:val="146"/>
        </w:trPr>
        <w:tc>
          <w:tcPr>
            <w:tcW w:w="548" w:type="dxa"/>
            <w:vMerge/>
          </w:tcPr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755F" w:rsidRPr="0006755F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755F" w:rsidRPr="001B7334" w:rsidRDefault="0006755F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755F" w:rsidRPr="001B7334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1 8</w:t>
            </w:r>
            <w:r w:rsidR="001B7334"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533CD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533CDF" w:rsidRPr="0006755F" w:rsidRDefault="00F6572D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28" w:type="dxa"/>
            <w:vMerge w:val="restart"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орендних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5652" w:type="dxa"/>
            <w:vMerge w:val="restart"/>
          </w:tcPr>
          <w:p w:rsidR="00533CDF" w:rsidRPr="0006755F" w:rsidRDefault="00533CD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здача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оренду</w:t>
            </w:r>
            <w:proofErr w:type="spellEnd"/>
          </w:p>
        </w:tc>
        <w:tc>
          <w:tcPr>
            <w:tcW w:w="1418" w:type="dxa"/>
            <w:vMerge w:val="restart"/>
          </w:tcPr>
          <w:p w:rsidR="00533CDF" w:rsidRPr="0006755F" w:rsidRDefault="00533CD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533CDF" w:rsidRPr="0006755F" w:rsidRDefault="00533CDF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33CDF" w:rsidRPr="0006755F" w:rsidTr="003F45FA">
        <w:trPr>
          <w:trHeight w:val="188"/>
        </w:trPr>
        <w:tc>
          <w:tcPr>
            <w:tcW w:w="548" w:type="dxa"/>
            <w:vMerge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533CDF" w:rsidRPr="0006755F" w:rsidRDefault="00533CD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33CDF" w:rsidRPr="0006755F" w:rsidRDefault="00533CDF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533CDF" w:rsidRPr="0006755F" w:rsidRDefault="00533CDF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533CDF" w:rsidRPr="0006755F" w:rsidRDefault="00715CFC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63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2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06308F" w:rsidRPr="00533CD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Інші послуги </w:t>
            </w:r>
          </w:p>
        </w:tc>
        <w:tc>
          <w:tcPr>
            <w:tcW w:w="5652" w:type="dxa"/>
            <w:vMerge w:val="restart"/>
          </w:tcPr>
          <w:p w:rsidR="0006308F" w:rsidRPr="00F6572D" w:rsidRDefault="0006308F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додаткова (господарська) діяльність;</w:t>
            </w:r>
          </w:p>
          <w:p w:rsidR="0006308F" w:rsidRPr="0006755F" w:rsidRDefault="0006308F" w:rsidP="0006308F">
            <w:pPr>
              <w:pStyle w:val="a6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реалізація в установленому порядку майна (крім нерухомого майна)</w:t>
            </w:r>
          </w:p>
        </w:tc>
        <w:tc>
          <w:tcPr>
            <w:tcW w:w="1418" w:type="dxa"/>
            <w:vMerge w:val="restart"/>
          </w:tcPr>
          <w:p w:rsidR="0006308F" w:rsidRPr="00F6572D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Default="0006308F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DC7F5A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63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штатного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розпису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(заробітна плата і нарахування на оплату праці)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E2C6D" w:rsidRPr="0006755F" w:rsidRDefault="0006308F" w:rsidP="0089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28" w:type="dxa"/>
            <w:vMerge w:val="restart"/>
          </w:tcPr>
          <w:p w:rsidR="0006308F" w:rsidRPr="00891A7D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A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652" w:type="dxa"/>
            <w:vMerge w:val="restart"/>
          </w:tcPr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господарчих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електротоварів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меблів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малоцінних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білизни;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придбання комплектувальних виробів і деталей для ремонту всіх видів виробничого та невиробничого обладнання;</w:t>
            </w:r>
          </w:p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канцелярського та письмового приладдя; бланків, паперу та інш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комп’ютерне обладнання;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інших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малоцінних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товарів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матеріалів, обладнання та інвентарю</w:t>
            </w:r>
          </w:p>
        </w:tc>
        <w:tc>
          <w:tcPr>
            <w:tcW w:w="1418" w:type="dxa"/>
            <w:vMerge w:val="restart"/>
          </w:tcPr>
          <w:p w:rsidR="0006308F" w:rsidRPr="0006308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8E0189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740C6C" w:rsidRDefault="0006308F" w:rsidP="0006308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06308F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5C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перев’язувальних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засобів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виробів медичного призначення;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970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308F" w:rsidRPr="0006755F" w:rsidTr="003F45FA">
        <w:trPr>
          <w:trHeight w:val="562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06308F" w:rsidRPr="0006755F" w:rsidRDefault="00CE2C6D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715C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6308F" w:rsidRPr="0006755F" w:rsidRDefault="005A2577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CE2C6D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E0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CE2C6D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крім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Згідно заключених договорів на оплату послуг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CE2C6D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15C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енергоносіїв</w:t>
            </w:r>
            <w:proofErr w:type="spellEnd"/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водопостачання і водовідведення;</w:t>
            </w:r>
          </w:p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електроенергії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природного газу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555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CE2C6D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715C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3C5B2C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відрядження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0C6C">
              <w:rPr>
                <w:rFonts w:ascii="Times New Roman" w:hAnsi="Times New Roman"/>
                <w:lang w:val="uk-UA"/>
              </w:rPr>
              <w:t>видатки на відрядження разового характеру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проходження спеціалізації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40C6C">
              <w:rPr>
                <w:rFonts w:ascii="Times New Roman" w:hAnsi="Times New Roman"/>
                <w:lang w:val="uk-UA"/>
              </w:rPr>
              <w:t>на курси підвищення кваліфікації, участь у конференціях, навчання,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семінарах, виставках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та інші видатки пов’язані з відрядженням.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2577FB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6308F" w:rsidRPr="0006755F" w:rsidTr="003F45FA">
        <w:trPr>
          <w:trHeight w:val="824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2693" w:type="dxa"/>
          </w:tcPr>
          <w:p w:rsidR="0006308F" w:rsidRPr="0006755F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виплати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ідшкодування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витрат на в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иплат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пільгових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пенсій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Default="0006308F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відшкодування витрат по забезпеченню інсуліном інсулінозалежних хворих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відповідно до державної програми «</w:t>
            </w:r>
            <w:r w:rsidRPr="003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Централізовані заходи з лікування хворих на цукровий та нецукровий діабет</w:t>
            </w:r>
            <w:r w:rsidR="008E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».</w:t>
            </w:r>
          </w:p>
          <w:p w:rsidR="008E0189" w:rsidRPr="0006755F" w:rsidRDefault="008E0189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531555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305DE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  <w:r w:rsidR="008E0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6308F" w:rsidRPr="0006755F" w:rsidRDefault="008A44A5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 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06308F" w:rsidRPr="00CE2C6D" w:rsidRDefault="00CE2C6D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5652" w:type="dxa"/>
            <w:vMerge w:val="restart"/>
          </w:tcPr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сплата податків, зборів, обов’язкових платежів, штрафів, пені тощо</w:t>
            </w:r>
            <w:r w:rsidR="00CE2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CE2C6D" w:rsidRPr="0006755F" w:rsidRDefault="00CE2C6D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окремі заходи по реалізації державних(регіональних) програм, не віднесених до заходів розвитку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CE2C6D" w:rsidRDefault="00FC5FFC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1,</w:t>
            </w:r>
            <w:r w:rsidR="008A44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06308F" w:rsidRPr="00305DE4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9D1C5D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D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9D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9D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5652" w:type="dxa"/>
            <w:vMerge w:val="restart"/>
          </w:tcPr>
          <w:p w:rsidR="00D57170" w:rsidRPr="003953ED" w:rsidRDefault="0006308F" w:rsidP="002C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="0039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2C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відповідно до вимог Національної служби здоров’я України.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06308F" w:rsidRPr="0006755F" w:rsidRDefault="008E0189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="00FC5F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306</w:t>
            </w:r>
            <w:r w:rsidR="00305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C5F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6308F" w:rsidRPr="0006755F" w:rsidTr="003F45FA">
        <w:trPr>
          <w:trHeight w:val="340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305DE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715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31555" w:rsidRPr="0006755F" w:rsidTr="003F45FA">
        <w:trPr>
          <w:trHeight w:val="146"/>
        </w:trPr>
        <w:tc>
          <w:tcPr>
            <w:tcW w:w="548" w:type="dxa"/>
            <w:vMerge w:val="restart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</w:t>
            </w:r>
          </w:p>
        </w:tc>
        <w:tc>
          <w:tcPr>
            <w:tcW w:w="2428" w:type="dxa"/>
            <w:vMerge w:val="restart"/>
          </w:tcPr>
          <w:p w:rsidR="00531555" w:rsidRPr="00531555" w:rsidRDefault="00531555" w:rsidP="005315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Капітальне</w:t>
            </w:r>
            <w:proofErr w:type="spellEnd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будівництво</w:t>
            </w:r>
            <w:proofErr w:type="spellEnd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придбання</w:t>
            </w:r>
            <w:proofErr w:type="spellEnd"/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5652" w:type="dxa"/>
            <w:vMerge w:val="restart"/>
          </w:tcPr>
          <w:p w:rsidR="00531555" w:rsidRPr="00531555" w:rsidRDefault="00531555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хірургічного корпусу Новоград-Волинського міськрай ТМО на вул. Медвєдєва,13 в місті Новограді-Волинському Житомирської області</w:t>
            </w:r>
          </w:p>
        </w:tc>
        <w:tc>
          <w:tcPr>
            <w:tcW w:w="1418" w:type="dxa"/>
            <w:vMerge w:val="restart"/>
          </w:tcPr>
          <w:p w:rsidR="00531555" w:rsidRPr="0006755F" w:rsidRDefault="00531555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531555" w:rsidRPr="0006755F" w:rsidRDefault="002C2CA5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666,2</w:t>
            </w:r>
          </w:p>
        </w:tc>
      </w:tr>
      <w:tr w:rsidR="00531555" w:rsidRPr="0006755F" w:rsidTr="002C2CA5">
        <w:trPr>
          <w:trHeight w:val="690"/>
        </w:trPr>
        <w:tc>
          <w:tcPr>
            <w:tcW w:w="548" w:type="dxa"/>
            <w:vMerge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531555" w:rsidRPr="00531555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2" w:type="dxa"/>
            <w:vMerge/>
          </w:tcPr>
          <w:p w:rsidR="00531555" w:rsidRPr="00531555" w:rsidRDefault="00531555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531555" w:rsidRPr="0006755F" w:rsidRDefault="00531555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531555" w:rsidRPr="0006755F" w:rsidRDefault="00531555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953ED" w:rsidRPr="00531555" w:rsidTr="003F45FA">
        <w:trPr>
          <w:trHeight w:val="146"/>
        </w:trPr>
        <w:tc>
          <w:tcPr>
            <w:tcW w:w="548" w:type="dxa"/>
            <w:vMerge w:val="restart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</w:t>
            </w:r>
          </w:p>
        </w:tc>
        <w:tc>
          <w:tcPr>
            <w:tcW w:w="2428" w:type="dxa"/>
            <w:vMerge w:val="restart"/>
          </w:tcPr>
          <w:p w:rsidR="003953ED" w:rsidRPr="00531555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5652" w:type="dxa"/>
            <w:vMerge w:val="restart"/>
          </w:tcPr>
          <w:p w:rsidR="003953ED" w:rsidRPr="00531555" w:rsidRDefault="003953ED" w:rsidP="005315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капітальний ремонт дитячого інфекційного відділення Новоград-Волинського міськрай ТМО;</w:t>
            </w:r>
          </w:p>
          <w:p w:rsidR="003953ED" w:rsidRPr="00531555" w:rsidRDefault="003953ED" w:rsidP="005315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капітальний ремонт підлоги  2 та 4 поверхів лікувального корпусу (офтальмологічне відділення)  Новоград-Волинського міськрай ТМО, вул. Наталії Оржевської, 13;</w:t>
            </w:r>
          </w:p>
          <w:p w:rsidR="003953ED" w:rsidRPr="00531555" w:rsidRDefault="003953ED" w:rsidP="002C2C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капітальний ремонт </w:t>
            </w:r>
            <w:r w:rsidR="002C2C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приймального відділення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лікувального корпусу  Новоград-Волинського міськрай ТМО, вул. Наталії Оржевської,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3953ED" w:rsidRPr="0006755F" w:rsidRDefault="003953ED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3953ED" w:rsidRPr="0006755F" w:rsidRDefault="008E0189" w:rsidP="002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3953ED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2C2CA5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48</w:t>
            </w:r>
            <w:r w:rsidR="003953ED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</w:tr>
      <w:tr w:rsidR="003953ED" w:rsidRPr="00531555" w:rsidTr="003F45FA">
        <w:trPr>
          <w:trHeight w:val="146"/>
        </w:trPr>
        <w:tc>
          <w:tcPr>
            <w:tcW w:w="54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52" w:type="dxa"/>
            <w:vMerge/>
          </w:tcPr>
          <w:p w:rsidR="003953ED" w:rsidRPr="0006755F" w:rsidRDefault="003953ED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3953ED" w:rsidRPr="0006755F" w:rsidRDefault="003953ED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D57170" w:rsidRPr="00531555" w:rsidTr="00B500EE">
        <w:trPr>
          <w:trHeight w:val="146"/>
        </w:trPr>
        <w:tc>
          <w:tcPr>
            <w:tcW w:w="548" w:type="dxa"/>
            <w:vMerge w:val="restart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17.</w:t>
            </w:r>
          </w:p>
        </w:tc>
        <w:tc>
          <w:tcPr>
            <w:tcW w:w="2428" w:type="dxa"/>
            <w:vMerge w:val="restart"/>
          </w:tcPr>
          <w:p w:rsidR="00D57170" w:rsidRPr="000F4FFE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4FF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Заходи </w:t>
            </w:r>
            <w:r w:rsidR="000F4FFE" w:rsidRPr="000F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вакуацією людей;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обробка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дерев’яних елементів горищних приміщень будівель засобами вогнезахисту, які забезпечують І групу вогнезахисної ефективності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ревізія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пристроїв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прямого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потрапляння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блискавки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вторинних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її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проявів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всіх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будівлях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ТМО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ремонт протипожежної системи  водопроводу у хірургічному та пологовому відділеннях (лікувальний корпус № 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Pr="003F45FA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придбання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ів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захисту органів дихання для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саморятування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людей під час пожежі з розрахунку на максимальну кількість хворих (стаціонару) та окремо для обслуговуючого персоналу (1300 шт.) (ППБУ, КЦЗУ)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D57170" w:rsidRPr="0006755F" w:rsidRDefault="00D57170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D57170" w:rsidRPr="0006755F" w:rsidRDefault="00FC5FFC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D57170">
              <w:rPr>
                <w:rFonts w:ascii="Times New Roman" w:eastAsia="Times New Roman" w:hAnsi="Times New Roman" w:cs="Times New Roman"/>
                <w:lang w:val="uk-UA"/>
              </w:rPr>
              <w:t> 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D57170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D57170" w:rsidRPr="00531555" w:rsidTr="00DA532A">
        <w:trPr>
          <w:trHeight w:val="146"/>
        </w:trPr>
        <w:tc>
          <w:tcPr>
            <w:tcW w:w="54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52" w:type="dxa"/>
            <w:vMerge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D57170" w:rsidRPr="0006755F" w:rsidRDefault="00D57170" w:rsidP="00D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755F">
              <w:rPr>
                <w:rFonts w:ascii="Times New Roman" w:eastAsia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D57170" w:rsidRPr="0006755F" w:rsidRDefault="00DC7F5A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30 538,7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755F">
              <w:rPr>
                <w:rFonts w:ascii="Times New Roman" w:eastAsia="Times New Roman" w:hAnsi="Times New Roman" w:cs="Times New Roman"/>
                <w:lang w:val="uk-UA"/>
              </w:rPr>
              <w:t>Бюджетні кошти</w:t>
            </w:r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D57170" w:rsidRPr="0006755F" w:rsidRDefault="00FC5FFC" w:rsidP="00DC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2</w:t>
            </w:r>
            <w:r w:rsidR="00DC7F5A">
              <w:rPr>
                <w:rFonts w:ascii="Times New Roman" w:eastAsia="Times New Roman" w:hAnsi="Times New Roman" w:cs="Times New Roman"/>
                <w:lang w:val="uk-UA"/>
              </w:rPr>
              <w:t>8 338,7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6755F">
              <w:rPr>
                <w:rFonts w:ascii="Times New Roman" w:eastAsia="Times New Roman" w:hAnsi="Times New Roman" w:cs="Times New Roman"/>
                <w:lang w:val="en-US"/>
              </w:rPr>
              <w:t>Власні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lang w:val="en-US"/>
              </w:rPr>
              <w:t>кошти</w:t>
            </w:r>
            <w:proofErr w:type="spellEnd"/>
            <w:r w:rsidRPr="000675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6755F">
              <w:rPr>
                <w:rFonts w:ascii="Times New Roman" w:eastAsia="Times New Roman" w:hAnsi="Times New Roman" w:cs="Times New Roman"/>
                <w:lang w:val="en-US"/>
              </w:rPr>
              <w:t>підприємства</w:t>
            </w:r>
            <w:proofErr w:type="spellEnd"/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D57170" w:rsidRPr="0006755F" w:rsidRDefault="00715CFC" w:rsidP="000F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2 200,0</w:t>
            </w:r>
          </w:p>
        </w:tc>
      </w:tr>
    </w:tbl>
    <w:p w:rsidR="000F4FFE" w:rsidRDefault="000F4FFE" w:rsidP="000F4F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FE" w:rsidRPr="0006755F" w:rsidRDefault="000F4FFE" w:rsidP="000F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голови  Новоград – Волинської </w:t>
      </w:r>
    </w:p>
    <w:p w:rsidR="0006755F" w:rsidRPr="008A44A5" w:rsidRDefault="000F4FFE" w:rsidP="008A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6755F" w:rsidRPr="008A44A5" w:rsidSect="00F6572D">
          <w:pgSz w:w="16838" w:h="11906" w:orient="landscape" w:code="9"/>
          <w:pgMar w:top="284" w:right="253" w:bottom="284" w:left="539" w:header="709" w:footer="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районної державної адміністрації                                   </w:t>
      </w:r>
      <w:r w:rsidR="00CB4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B4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Даниленко </w:t>
      </w:r>
    </w:p>
    <w:p w:rsidR="00D246E3" w:rsidRPr="0006755F" w:rsidRDefault="00D246E3" w:rsidP="008A44A5">
      <w:pPr>
        <w:rPr>
          <w:lang w:val="uk-UA"/>
        </w:rPr>
      </w:pPr>
    </w:p>
    <w:sectPr w:rsidR="00D246E3" w:rsidRPr="0006755F" w:rsidSect="00F6572D">
      <w:pgSz w:w="11906" w:h="16838"/>
      <w:pgMar w:top="539" w:right="425" w:bottom="53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60" w:rsidRDefault="00197060">
      <w:pPr>
        <w:spacing w:after="0" w:line="240" w:lineRule="auto"/>
      </w:pPr>
      <w:r>
        <w:separator/>
      </w:r>
    </w:p>
  </w:endnote>
  <w:endnote w:type="continuationSeparator" w:id="0">
    <w:p w:rsidR="00197060" w:rsidRDefault="0019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D" w:rsidRDefault="003953E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00F">
      <w:rPr>
        <w:noProof/>
      </w:rPr>
      <w:t>9</w:t>
    </w:r>
    <w:r>
      <w:fldChar w:fldCharType="end"/>
    </w:r>
  </w:p>
  <w:p w:rsidR="003953ED" w:rsidRDefault="00395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60" w:rsidRDefault="00197060">
      <w:pPr>
        <w:spacing w:after="0" w:line="240" w:lineRule="auto"/>
      </w:pPr>
      <w:r>
        <w:separator/>
      </w:r>
    </w:p>
  </w:footnote>
  <w:footnote w:type="continuationSeparator" w:id="0">
    <w:p w:rsidR="00197060" w:rsidRDefault="0019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01469B"/>
    <w:multiLevelType w:val="hybridMultilevel"/>
    <w:tmpl w:val="385A484C"/>
    <w:lvl w:ilvl="0" w:tplc="6DFA9E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A760FE"/>
    <w:multiLevelType w:val="hybridMultilevel"/>
    <w:tmpl w:val="4446B388"/>
    <w:lvl w:ilvl="0" w:tplc="4F06EE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622E"/>
    <w:multiLevelType w:val="hybridMultilevel"/>
    <w:tmpl w:val="1A08EA04"/>
    <w:lvl w:ilvl="0" w:tplc="32A675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3219C3"/>
    <w:multiLevelType w:val="hybridMultilevel"/>
    <w:tmpl w:val="BBE6DD68"/>
    <w:lvl w:ilvl="0" w:tplc="3D32FB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5F"/>
    <w:rsid w:val="0006308F"/>
    <w:rsid w:val="0006755F"/>
    <w:rsid w:val="000D38FF"/>
    <w:rsid w:val="000F4FFE"/>
    <w:rsid w:val="001451A2"/>
    <w:rsid w:val="00146E3C"/>
    <w:rsid w:val="001525D4"/>
    <w:rsid w:val="00197060"/>
    <w:rsid w:val="001B7334"/>
    <w:rsid w:val="002577FB"/>
    <w:rsid w:val="0027797C"/>
    <w:rsid w:val="002843D4"/>
    <w:rsid w:val="002C2CA5"/>
    <w:rsid w:val="002D2870"/>
    <w:rsid w:val="00305DE4"/>
    <w:rsid w:val="003953ED"/>
    <w:rsid w:val="003C5B2C"/>
    <w:rsid w:val="003F45FA"/>
    <w:rsid w:val="00417EF7"/>
    <w:rsid w:val="004C4C69"/>
    <w:rsid w:val="00531555"/>
    <w:rsid w:val="00533CDF"/>
    <w:rsid w:val="005878B9"/>
    <w:rsid w:val="005A2577"/>
    <w:rsid w:val="00614259"/>
    <w:rsid w:val="00715CFC"/>
    <w:rsid w:val="007357B1"/>
    <w:rsid w:val="00781B5E"/>
    <w:rsid w:val="00891A7D"/>
    <w:rsid w:val="008A44A5"/>
    <w:rsid w:val="008E0189"/>
    <w:rsid w:val="00954DCD"/>
    <w:rsid w:val="009C7857"/>
    <w:rsid w:val="009D1C5D"/>
    <w:rsid w:val="009F2280"/>
    <w:rsid w:val="00A40EA5"/>
    <w:rsid w:val="00AC297C"/>
    <w:rsid w:val="00BB3694"/>
    <w:rsid w:val="00BF60BC"/>
    <w:rsid w:val="00C5724D"/>
    <w:rsid w:val="00CB49D0"/>
    <w:rsid w:val="00CE2C6D"/>
    <w:rsid w:val="00D246E3"/>
    <w:rsid w:val="00D57170"/>
    <w:rsid w:val="00D720DB"/>
    <w:rsid w:val="00DB6798"/>
    <w:rsid w:val="00DC7F5A"/>
    <w:rsid w:val="00DD070F"/>
    <w:rsid w:val="00E00145"/>
    <w:rsid w:val="00F6572D"/>
    <w:rsid w:val="00FA3774"/>
    <w:rsid w:val="00FB1B06"/>
    <w:rsid w:val="00FC100F"/>
    <w:rsid w:val="00FC5FFC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82EA"/>
  <w15:chartTrackingRefBased/>
  <w15:docId w15:val="{AC128C17-C7C7-4838-9799-F00728E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755F"/>
  </w:style>
  <w:style w:type="paragraph" w:styleId="a5">
    <w:name w:val="List Paragraph"/>
    <w:basedOn w:val="a"/>
    <w:uiPriority w:val="34"/>
    <w:qFormat/>
    <w:rsid w:val="007357B1"/>
    <w:pPr>
      <w:ind w:left="720"/>
      <w:contextualSpacing/>
    </w:pPr>
  </w:style>
  <w:style w:type="paragraph" w:styleId="a6">
    <w:name w:val="No Spacing"/>
    <w:uiPriority w:val="1"/>
    <w:qFormat/>
    <w:rsid w:val="00F65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30</cp:revision>
  <dcterms:created xsi:type="dcterms:W3CDTF">2018-11-15T14:29:00Z</dcterms:created>
  <dcterms:modified xsi:type="dcterms:W3CDTF">2019-11-11T10:42:00Z</dcterms:modified>
</cp:coreProperties>
</file>