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DF7F53" w:rsidTr="0099520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53" w:rsidRDefault="00DF7F53" w:rsidP="0099520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F7F53" w:rsidTr="00995208">
        <w:tc>
          <w:tcPr>
            <w:tcW w:w="10138" w:type="dxa"/>
            <w:gridSpan w:val="2"/>
            <w:shd w:val="clear" w:color="auto" w:fill="auto"/>
          </w:tcPr>
          <w:p w:rsidR="00DF7F53" w:rsidRPr="008B629F" w:rsidRDefault="00DF7F53" w:rsidP="00DF7F53">
            <w:pPr>
              <w:pStyle w:val="6"/>
              <w:jc w:val="left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ЗВЯГЕЛЬ</w:t>
            </w:r>
            <w:r w:rsidRPr="008B629F">
              <w:t>СЬКА РАЙОННА РАДА</w:t>
            </w:r>
          </w:p>
        </w:tc>
      </w:tr>
      <w:tr w:rsidR="00DF7F53" w:rsidTr="0099520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F7F53" w:rsidTr="0099520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sz w:val="20"/>
                <w:lang w:val="uk-UA"/>
              </w:rPr>
            </w:pPr>
          </w:p>
        </w:tc>
      </w:tr>
      <w:tr w:rsidR="00DF7F53" w:rsidRPr="008B629F" w:rsidTr="00995208">
        <w:tc>
          <w:tcPr>
            <w:tcW w:w="10138" w:type="dxa"/>
            <w:gridSpan w:val="2"/>
            <w:shd w:val="clear" w:color="auto" w:fill="auto"/>
          </w:tcPr>
          <w:p w:rsidR="00DF7F53" w:rsidRPr="008B629F" w:rsidRDefault="00DF7F53" w:rsidP="00995208">
            <w:pPr>
              <w:pStyle w:val="5"/>
              <w:rPr>
                <w:b w:val="0"/>
                <w:sz w:val="36"/>
                <w:lang w:val="uk-UA"/>
              </w:rPr>
            </w:pPr>
            <w:r w:rsidRPr="008B629F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8B629F">
              <w:rPr>
                <w:b w:val="0"/>
                <w:sz w:val="36"/>
                <w:lang w:val="uk-UA"/>
              </w:rPr>
              <w:t>Н</w:t>
            </w:r>
            <w:proofErr w:type="spellEnd"/>
            <w:r w:rsidRPr="008B629F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DF7F53" w:rsidRPr="008B629F" w:rsidTr="00995208">
        <w:tc>
          <w:tcPr>
            <w:tcW w:w="10138" w:type="dxa"/>
            <w:gridSpan w:val="2"/>
            <w:shd w:val="clear" w:color="auto" w:fill="auto"/>
          </w:tcPr>
          <w:p w:rsidR="00DF7F53" w:rsidRPr="00F93016" w:rsidRDefault="00DF7F53" w:rsidP="00995208">
            <w:pPr>
              <w:pStyle w:val="5"/>
              <w:rPr>
                <w:b w:val="0"/>
                <w:color w:val="000000"/>
                <w:sz w:val="20"/>
                <w:lang w:val="uk-UA"/>
              </w:rPr>
            </w:pPr>
          </w:p>
        </w:tc>
      </w:tr>
      <w:tr w:rsidR="00DF7F53" w:rsidRPr="008B629F" w:rsidTr="00995208">
        <w:tc>
          <w:tcPr>
            <w:tcW w:w="5069" w:type="dxa"/>
            <w:shd w:val="clear" w:color="auto" w:fill="auto"/>
          </w:tcPr>
          <w:p w:rsidR="00DF7F53" w:rsidRPr="00F93016" w:rsidRDefault="00DF7F53" w:rsidP="00995208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Шістна</w:t>
            </w:r>
            <w:r w:rsidRPr="00F93016">
              <w:rPr>
                <w:b w:val="0"/>
                <w:bCs/>
                <w:color w:val="000000"/>
                <w:lang w:val="uk-UA"/>
              </w:rPr>
              <w:t xml:space="preserve">дцята  сесія  </w:t>
            </w:r>
          </w:p>
          <w:p w:rsidR="00DF7F53" w:rsidRPr="00F93016" w:rsidRDefault="00DF7F53" w:rsidP="00995208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F7F53" w:rsidRPr="00F93016" w:rsidRDefault="00DF7F53" w:rsidP="00995208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F93016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proofErr w:type="gramStart"/>
            <w:r w:rsidRPr="00F93016">
              <w:rPr>
                <w:b w:val="0"/>
                <w:bCs/>
                <w:color w:val="000000"/>
                <w:lang w:val="en-US"/>
              </w:rPr>
              <w:t>V</w:t>
            </w:r>
            <w:r w:rsidRPr="00F93016">
              <w:rPr>
                <w:b w:val="0"/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DF7F53" w:rsidRPr="008B629F" w:rsidTr="00995208">
        <w:tc>
          <w:tcPr>
            <w:tcW w:w="5069" w:type="dxa"/>
            <w:shd w:val="clear" w:color="auto" w:fill="auto"/>
          </w:tcPr>
          <w:p w:rsidR="00DF7F53" w:rsidRPr="00F93016" w:rsidRDefault="00DF7F53" w:rsidP="00995208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05 травня 2023</w:t>
            </w:r>
            <w:r w:rsidRPr="00F93016">
              <w:rPr>
                <w:b w:val="0"/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DF7F53" w:rsidRPr="00F93016" w:rsidRDefault="00DF7F53" w:rsidP="00995208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</w:tbl>
    <w:p w:rsidR="00DF7F53" w:rsidRPr="00F93016" w:rsidRDefault="00DF7F53" w:rsidP="00DF7F53">
      <w:pPr>
        <w:pStyle w:val="3"/>
        <w:rPr>
          <w:b w:val="0"/>
          <w:color w:val="000000"/>
          <w:lang w:val="en-US"/>
        </w:rPr>
      </w:pP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 xml:space="preserve">Про звіт голови постійної комісії </w:t>
      </w: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 xml:space="preserve">з питань АПК, регулювання земельних </w:t>
      </w: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>відносин</w:t>
      </w:r>
      <w:r>
        <w:rPr>
          <w:sz w:val="28"/>
          <w:szCs w:val="28"/>
          <w:lang w:val="uk-UA"/>
        </w:rPr>
        <w:t>,</w:t>
      </w:r>
      <w:r w:rsidRPr="008B629F">
        <w:rPr>
          <w:sz w:val="28"/>
          <w:szCs w:val="28"/>
          <w:lang w:val="uk-UA"/>
        </w:rPr>
        <w:t xml:space="preserve"> екології та використання </w:t>
      </w:r>
    </w:p>
    <w:p w:rsidR="00DF7F53" w:rsidRPr="008B629F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8B629F">
        <w:rPr>
          <w:sz w:val="28"/>
          <w:szCs w:val="28"/>
          <w:lang w:val="uk-UA"/>
        </w:rPr>
        <w:t xml:space="preserve">природних ресурсів </w:t>
      </w:r>
    </w:p>
    <w:p w:rsidR="00DF7F53" w:rsidRDefault="00DF7F53" w:rsidP="00DF7F53">
      <w:pPr>
        <w:pStyle w:val="3"/>
        <w:spacing w:line="276" w:lineRule="auto"/>
      </w:pPr>
    </w:p>
    <w:p w:rsidR="00DF7F53" w:rsidRPr="0066642C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>
        <w:rPr>
          <w:bCs/>
          <w:sz w:val="28"/>
          <w:szCs w:val="28"/>
          <w:lang w:val="uk-UA"/>
        </w:rPr>
        <w:t xml:space="preserve">заступника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</w:t>
      </w:r>
      <w:r>
        <w:rPr>
          <w:sz w:val="28"/>
          <w:szCs w:val="28"/>
          <w:lang w:val="uk-UA"/>
        </w:rPr>
        <w:t>,</w:t>
      </w:r>
      <w:r w:rsidRPr="00D9719D">
        <w:rPr>
          <w:sz w:val="28"/>
          <w:szCs w:val="28"/>
          <w:lang w:val="uk-UA"/>
        </w:rPr>
        <w:t xml:space="preserve"> екології та використання природних ресурсів</w:t>
      </w:r>
      <w:r>
        <w:rPr>
          <w:sz w:val="28"/>
          <w:szCs w:val="28"/>
          <w:lang w:val="uk-UA"/>
        </w:rPr>
        <w:t xml:space="preserve"> Олени Поліщук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DF7F53" w:rsidRPr="00DF7F53" w:rsidRDefault="00DF7F53" w:rsidP="00DF7F53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DF7F53" w:rsidRPr="008B629F" w:rsidRDefault="00DF7F53" w:rsidP="00DF7F53">
      <w:pPr>
        <w:pStyle w:val="3"/>
        <w:spacing w:line="276" w:lineRule="auto"/>
        <w:jc w:val="both"/>
        <w:rPr>
          <w:b w:val="0"/>
        </w:rPr>
      </w:pPr>
      <w:r w:rsidRPr="008B629F">
        <w:rPr>
          <w:b w:val="0"/>
        </w:rPr>
        <w:t>ВИРІШИЛА:</w:t>
      </w:r>
    </w:p>
    <w:p w:rsidR="00DF7F53" w:rsidRPr="00DF7F53" w:rsidRDefault="00DF7F53" w:rsidP="00DF7F53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  <w:bookmarkStart w:id="0" w:name="_GoBack"/>
      <w:bookmarkEnd w:id="0"/>
    </w:p>
    <w:p w:rsidR="00DF7F53" w:rsidRDefault="00DF7F53" w:rsidP="00DF7F53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</w:t>
      </w:r>
      <w:r>
        <w:rPr>
          <w:sz w:val="28"/>
          <w:szCs w:val="28"/>
          <w:lang w:val="uk-UA"/>
        </w:rPr>
        <w:t xml:space="preserve">заступника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F7F53" w:rsidRPr="0066642C" w:rsidRDefault="00DF7F53" w:rsidP="00DF7F5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Олени Поліщук п</w:t>
      </w:r>
      <w:r w:rsidRPr="0066642C">
        <w:rPr>
          <w:sz w:val="28"/>
          <w:szCs w:val="28"/>
          <w:lang w:val="uk-UA"/>
        </w:rPr>
        <w:t>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DF7F53" w:rsidRDefault="00DF7F53" w:rsidP="00DF7F53">
      <w:pPr>
        <w:pStyle w:val="3"/>
        <w:spacing w:line="276" w:lineRule="auto"/>
        <w:jc w:val="both"/>
        <w:rPr>
          <w:b w:val="0"/>
          <w:bCs w:val="0"/>
        </w:rPr>
      </w:pPr>
    </w:p>
    <w:p w:rsidR="00DF7F53" w:rsidRDefault="00DF7F53" w:rsidP="00DF7F53">
      <w:pPr>
        <w:pStyle w:val="3"/>
        <w:spacing w:line="276" w:lineRule="auto"/>
        <w:jc w:val="both"/>
        <w:rPr>
          <w:b w:val="0"/>
          <w:bCs w:val="0"/>
        </w:rPr>
      </w:pPr>
    </w:p>
    <w:p w:rsidR="00DF7F53" w:rsidRDefault="00DF7F53" w:rsidP="00DF7F53">
      <w:pPr>
        <w:pStyle w:val="3"/>
        <w:jc w:val="center"/>
      </w:pPr>
    </w:p>
    <w:p w:rsidR="00DF7F53" w:rsidRPr="008B629F" w:rsidRDefault="00DF7F53" w:rsidP="00DF7F53">
      <w:pPr>
        <w:pStyle w:val="3"/>
        <w:rPr>
          <w:b w:val="0"/>
        </w:rPr>
      </w:pPr>
      <w:r w:rsidRPr="008B629F">
        <w:rPr>
          <w:b w:val="0"/>
        </w:rPr>
        <w:t xml:space="preserve">Голова районної ради                                   </w:t>
      </w:r>
      <w:r>
        <w:rPr>
          <w:b w:val="0"/>
        </w:rPr>
        <w:t xml:space="preserve">        </w:t>
      </w:r>
      <w:r>
        <w:rPr>
          <w:b w:val="0"/>
        </w:rPr>
        <w:t xml:space="preserve">            </w:t>
      </w:r>
      <w:r>
        <w:rPr>
          <w:b w:val="0"/>
        </w:rPr>
        <w:t xml:space="preserve">                Артур ЗАГРИВИЙ</w:t>
      </w:r>
    </w:p>
    <w:p w:rsidR="00DF7F53" w:rsidRPr="008B629F" w:rsidRDefault="00DF7F53" w:rsidP="00DF7F53">
      <w:pPr>
        <w:rPr>
          <w:lang w:val="uk-UA"/>
        </w:rPr>
      </w:pPr>
    </w:p>
    <w:p w:rsidR="00660C6D" w:rsidRDefault="00660C6D"/>
    <w:sectPr w:rsidR="00660C6D" w:rsidSect="006427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8"/>
    <w:rsid w:val="00332D28"/>
    <w:rsid w:val="00660C6D"/>
    <w:rsid w:val="00D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91F8-3D55-490E-97AD-3179980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F7F5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F7F5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F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F7F5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F7F53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F7F53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2023-05-01T02:09:00Z</dcterms:created>
  <dcterms:modified xsi:type="dcterms:W3CDTF">2023-05-01T02:12:00Z</dcterms:modified>
</cp:coreProperties>
</file>