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A175" w14:textId="05EAC174" w:rsidR="005021BA" w:rsidRPr="00273EC8" w:rsidRDefault="005021BA" w:rsidP="005021BA">
      <w:pPr>
        <w:ind w:right="-285" w:firstLine="567"/>
        <w:jc w:val="center"/>
        <w:rPr>
          <w:b/>
          <w:bCs/>
          <w:sz w:val="28"/>
          <w:szCs w:val="28"/>
        </w:rPr>
      </w:pPr>
      <w:r w:rsidRPr="00273EC8">
        <w:rPr>
          <w:b/>
          <w:bCs/>
          <w:sz w:val="28"/>
          <w:szCs w:val="28"/>
        </w:rPr>
        <w:t>Проект доповнення до програми економічного і соціального розвитку Звягельського  району на 2023 рік</w:t>
      </w:r>
    </w:p>
    <w:p w14:paraId="2E0601A0" w14:textId="37791D09" w:rsidR="005021BA" w:rsidRPr="00273EC8" w:rsidRDefault="005021BA">
      <w:pPr>
        <w:rPr>
          <w:sz w:val="28"/>
          <w:szCs w:val="28"/>
        </w:rPr>
      </w:pPr>
    </w:p>
    <w:p w14:paraId="3C5BA7CE" w14:textId="234152E5" w:rsidR="005021BA" w:rsidRPr="00273EC8" w:rsidRDefault="005021BA">
      <w:pPr>
        <w:rPr>
          <w:sz w:val="28"/>
          <w:szCs w:val="28"/>
        </w:rPr>
      </w:pPr>
    </w:p>
    <w:p w14:paraId="0C38E133" w14:textId="77777777" w:rsidR="005021BA" w:rsidRPr="00273EC8" w:rsidRDefault="005021BA" w:rsidP="005021BA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</w:pPr>
      <w:bookmarkStart w:id="0" w:name="_Toc133574809"/>
      <w:r w:rsidRPr="00273EC8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  <w:t>ІІ. Оцінка тенденцій економічного і соціального розвитку району</w:t>
      </w:r>
      <w:bookmarkEnd w:id="0"/>
    </w:p>
    <w:p w14:paraId="7D24288E" w14:textId="77777777" w:rsidR="005021BA" w:rsidRPr="00273EC8" w:rsidRDefault="005021BA" w:rsidP="005021BA">
      <w:pPr>
        <w:rPr>
          <w:b/>
          <w:iCs/>
          <w:sz w:val="28"/>
          <w:szCs w:val="28"/>
        </w:rPr>
      </w:pPr>
    </w:p>
    <w:p w14:paraId="6F34D747" w14:textId="77777777" w:rsidR="005021BA" w:rsidRPr="00273EC8" w:rsidRDefault="005021BA" w:rsidP="005021BA">
      <w:pPr>
        <w:rPr>
          <w:b/>
          <w:iCs/>
          <w:sz w:val="28"/>
          <w:szCs w:val="28"/>
        </w:rPr>
      </w:pPr>
      <w:r w:rsidRPr="00273EC8">
        <w:rPr>
          <w:b/>
          <w:iCs/>
          <w:sz w:val="28"/>
          <w:szCs w:val="28"/>
        </w:rPr>
        <w:t>Соціально-економічне становище району.</w:t>
      </w:r>
    </w:p>
    <w:p w14:paraId="5933BD32" w14:textId="77777777" w:rsidR="005021BA" w:rsidRPr="00273EC8" w:rsidRDefault="005021BA" w:rsidP="005021BA">
      <w:pPr>
        <w:tabs>
          <w:tab w:val="left" w:pos="567"/>
        </w:tabs>
        <w:jc w:val="both"/>
        <w:rPr>
          <w:b/>
          <w:sz w:val="28"/>
          <w:szCs w:val="28"/>
          <w:u w:val="single"/>
        </w:rPr>
      </w:pPr>
      <w:r w:rsidRPr="00273EC8">
        <w:rPr>
          <w:sz w:val="28"/>
          <w:szCs w:val="28"/>
        </w:rPr>
        <w:t xml:space="preserve">         Однією з базових складових сфери матеріального виробництва в економіці району є </w:t>
      </w:r>
      <w:r w:rsidRPr="00273EC8">
        <w:rPr>
          <w:b/>
          <w:sz w:val="28"/>
          <w:szCs w:val="28"/>
          <w:u w:val="single"/>
        </w:rPr>
        <w:t>промисловість.</w:t>
      </w:r>
    </w:p>
    <w:p w14:paraId="30EE117D" w14:textId="3DB0C965" w:rsidR="005021BA" w:rsidRPr="00273EC8" w:rsidRDefault="005021BA" w:rsidP="002F750F">
      <w:pPr>
        <w:jc w:val="both"/>
        <w:rPr>
          <w:sz w:val="28"/>
          <w:szCs w:val="28"/>
        </w:rPr>
      </w:pPr>
      <w:r w:rsidRPr="002F750F">
        <w:rPr>
          <w:sz w:val="28"/>
          <w:szCs w:val="28"/>
        </w:rPr>
        <w:t xml:space="preserve">        До основного кола району входить 25 промислових підприємств району.                  А саме: ТОВ «</w:t>
      </w:r>
      <w:proofErr w:type="spellStart"/>
      <w:r w:rsidRPr="002F750F">
        <w:rPr>
          <w:sz w:val="28"/>
          <w:szCs w:val="28"/>
        </w:rPr>
        <w:t>Церсаніт</w:t>
      </w:r>
      <w:proofErr w:type="spellEnd"/>
      <w:r w:rsidRPr="002F750F">
        <w:rPr>
          <w:sz w:val="28"/>
          <w:szCs w:val="28"/>
        </w:rPr>
        <w:t>-Інвест», ТОВ «Нові ласощі – Житомир»,  ТОВ «ВО «</w:t>
      </w:r>
      <w:proofErr w:type="spellStart"/>
      <w:r w:rsidRPr="002F750F">
        <w:rPr>
          <w:sz w:val="28"/>
          <w:szCs w:val="28"/>
        </w:rPr>
        <w:t>Техна</w:t>
      </w:r>
      <w:proofErr w:type="spellEnd"/>
      <w:r w:rsidRPr="002F750F">
        <w:rPr>
          <w:sz w:val="28"/>
          <w:szCs w:val="28"/>
        </w:rPr>
        <w:t>»,  ПАТ «Новоград-</w:t>
      </w:r>
      <w:proofErr w:type="spellStart"/>
      <w:r w:rsidRPr="002F750F">
        <w:rPr>
          <w:sz w:val="28"/>
          <w:szCs w:val="28"/>
        </w:rPr>
        <w:t>Волинськсільмаш</w:t>
      </w:r>
      <w:proofErr w:type="spellEnd"/>
      <w:r w:rsidRPr="002F750F">
        <w:rPr>
          <w:sz w:val="28"/>
          <w:szCs w:val="28"/>
        </w:rPr>
        <w:t>», ТОВ «</w:t>
      </w:r>
      <w:proofErr w:type="spellStart"/>
      <w:r w:rsidRPr="002F750F">
        <w:rPr>
          <w:sz w:val="28"/>
          <w:szCs w:val="28"/>
        </w:rPr>
        <w:t>Новофарм</w:t>
      </w:r>
      <w:proofErr w:type="spellEnd"/>
      <w:r w:rsidRPr="002F750F">
        <w:rPr>
          <w:sz w:val="28"/>
          <w:szCs w:val="28"/>
        </w:rPr>
        <w:t>-Біосинтез»,                              ТОВ «</w:t>
      </w:r>
      <w:proofErr w:type="spellStart"/>
      <w:r w:rsidRPr="002F750F">
        <w:rPr>
          <w:sz w:val="28"/>
          <w:szCs w:val="28"/>
        </w:rPr>
        <w:t>Укрмедпак</w:t>
      </w:r>
      <w:proofErr w:type="spellEnd"/>
      <w:r w:rsidRPr="002F750F">
        <w:rPr>
          <w:sz w:val="28"/>
          <w:szCs w:val="28"/>
        </w:rPr>
        <w:t>», ПрАТ ВКФ «Леся»,  ТОВ «</w:t>
      </w:r>
      <w:proofErr w:type="spellStart"/>
      <w:r w:rsidRPr="002F750F">
        <w:rPr>
          <w:sz w:val="28"/>
          <w:szCs w:val="28"/>
        </w:rPr>
        <w:t>Ековудз</w:t>
      </w:r>
      <w:proofErr w:type="spellEnd"/>
      <w:r w:rsidRPr="002F750F">
        <w:rPr>
          <w:sz w:val="28"/>
          <w:szCs w:val="28"/>
        </w:rPr>
        <w:t xml:space="preserve">», </w:t>
      </w:r>
      <w:bookmarkStart w:id="1" w:name="_Hlk126240694"/>
      <w:r w:rsidR="002F750F" w:rsidRPr="002F750F">
        <w:rPr>
          <w:sz w:val="28"/>
          <w:szCs w:val="28"/>
        </w:rPr>
        <w:t>Філі</w:t>
      </w:r>
      <w:r w:rsidR="00D96F9A">
        <w:rPr>
          <w:sz w:val="28"/>
          <w:szCs w:val="28"/>
        </w:rPr>
        <w:t>я</w:t>
      </w:r>
      <w:r w:rsidR="002F750F" w:rsidRPr="002F750F">
        <w:rPr>
          <w:sz w:val="28"/>
          <w:szCs w:val="28"/>
        </w:rPr>
        <w:t xml:space="preserve"> </w:t>
      </w:r>
      <w:r w:rsidR="00D96F9A">
        <w:rPr>
          <w:sz w:val="28"/>
          <w:szCs w:val="28"/>
        </w:rPr>
        <w:t>«</w:t>
      </w:r>
      <w:r w:rsidR="002F750F" w:rsidRPr="002F750F">
        <w:rPr>
          <w:sz w:val="28"/>
          <w:szCs w:val="28"/>
        </w:rPr>
        <w:t>Городницьке лісове господарство</w:t>
      </w:r>
      <w:r w:rsidR="00D96F9A">
        <w:rPr>
          <w:sz w:val="28"/>
          <w:szCs w:val="28"/>
        </w:rPr>
        <w:t>»</w:t>
      </w:r>
      <w:r w:rsidR="002F750F">
        <w:rPr>
          <w:sz w:val="28"/>
          <w:szCs w:val="28"/>
        </w:rPr>
        <w:t xml:space="preserve"> ДП «Ліси України»</w:t>
      </w:r>
      <w:r w:rsidRPr="00273EC8">
        <w:rPr>
          <w:sz w:val="28"/>
          <w:szCs w:val="28"/>
        </w:rPr>
        <w:t>,</w:t>
      </w:r>
      <w:bookmarkEnd w:id="1"/>
      <w:r w:rsidRPr="00273EC8">
        <w:rPr>
          <w:sz w:val="28"/>
          <w:szCs w:val="28"/>
        </w:rPr>
        <w:t xml:space="preserve"> ПрАТ «</w:t>
      </w:r>
      <w:proofErr w:type="spellStart"/>
      <w:r w:rsidRPr="00273EC8">
        <w:rPr>
          <w:sz w:val="28"/>
          <w:szCs w:val="28"/>
        </w:rPr>
        <w:t>Мар’янівський</w:t>
      </w:r>
      <w:proofErr w:type="spellEnd"/>
      <w:r w:rsidRPr="00273EC8">
        <w:rPr>
          <w:sz w:val="28"/>
          <w:szCs w:val="28"/>
        </w:rPr>
        <w:t xml:space="preserve"> склозавод», </w:t>
      </w:r>
      <w:bookmarkStart w:id="2" w:name="_Hlk126240719"/>
      <w:r w:rsidRPr="00273EC8">
        <w:rPr>
          <w:sz w:val="28"/>
          <w:szCs w:val="28"/>
        </w:rPr>
        <w:t>ТОВ «Труд», ТОВ «</w:t>
      </w:r>
      <w:proofErr w:type="spellStart"/>
      <w:r w:rsidRPr="00273EC8">
        <w:rPr>
          <w:sz w:val="28"/>
          <w:szCs w:val="28"/>
        </w:rPr>
        <w:t>Вудпак</w:t>
      </w:r>
      <w:proofErr w:type="spellEnd"/>
      <w:r w:rsidRPr="00273EC8">
        <w:rPr>
          <w:sz w:val="28"/>
          <w:szCs w:val="28"/>
        </w:rPr>
        <w:t xml:space="preserve">», </w:t>
      </w:r>
      <w:bookmarkEnd w:id="2"/>
      <w:r w:rsidR="00F25849">
        <w:rPr>
          <w:sz w:val="28"/>
          <w:szCs w:val="28"/>
        </w:rPr>
        <w:t xml:space="preserve">Філія </w:t>
      </w:r>
      <w:r w:rsidR="00D96F9A">
        <w:rPr>
          <w:sz w:val="28"/>
          <w:szCs w:val="28"/>
        </w:rPr>
        <w:t>«</w:t>
      </w:r>
      <w:r w:rsidRPr="00273EC8">
        <w:rPr>
          <w:sz w:val="28"/>
          <w:szCs w:val="28"/>
        </w:rPr>
        <w:t>Ємільчинське лісове господарство</w:t>
      </w:r>
      <w:r w:rsidR="00D96F9A">
        <w:rPr>
          <w:sz w:val="28"/>
          <w:szCs w:val="28"/>
        </w:rPr>
        <w:t>»</w:t>
      </w:r>
      <w:r w:rsidR="00F25849">
        <w:rPr>
          <w:sz w:val="28"/>
          <w:szCs w:val="28"/>
        </w:rPr>
        <w:t xml:space="preserve"> ДП «Ліси України»</w:t>
      </w:r>
      <w:r w:rsidRPr="00273EC8">
        <w:rPr>
          <w:sz w:val="28"/>
          <w:szCs w:val="28"/>
        </w:rPr>
        <w:t xml:space="preserve">,  </w:t>
      </w:r>
      <w:bookmarkStart w:id="3" w:name="_Hlk126240669"/>
      <w:r w:rsidRPr="00273EC8">
        <w:rPr>
          <w:sz w:val="28"/>
          <w:szCs w:val="28"/>
        </w:rPr>
        <w:t>ТОВ «</w:t>
      </w:r>
      <w:proofErr w:type="spellStart"/>
      <w:r w:rsidRPr="00273EC8">
        <w:rPr>
          <w:sz w:val="28"/>
          <w:szCs w:val="28"/>
        </w:rPr>
        <w:t>Банковський</w:t>
      </w:r>
      <w:proofErr w:type="spellEnd"/>
      <w:r w:rsidRPr="00273EC8">
        <w:rPr>
          <w:sz w:val="28"/>
          <w:szCs w:val="28"/>
        </w:rPr>
        <w:t xml:space="preserve">», </w:t>
      </w:r>
      <w:bookmarkEnd w:id="3"/>
      <w:r w:rsidR="00F25849">
        <w:rPr>
          <w:sz w:val="28"/>
          <w:szCs w:val="28"/>
        </w:rPr>
        <w:t xml:space="preserve">Філія </w:t>
      </w:r>
      <w:r w:rsidR="00D96F9A">
        <w:rPr>
          <w:sz w:val="28"/>
          <w:szCs w:val="28"/>
        </w:rPr>
        <w:t>«</w:t>
      </w:r>
      <w:r w:rsidRPr="00273EC8">
        <w:rPr>
          <w:sz w:val="28"/>
          <w:szCs w:val="28"/>
        </w:rPr>
        <w:t xml:space="preserve">Баранівське </w:t>
      </w:r>
      <w:r w:rsidR="00F25849" w:rsidRPr="002F750F">
        <w:rPr>
          <w:sz w:val="28"/>
          <w:szCs w:val="28"/>
        </w:rPr>
        <w:t>лісове господарство</w:t>
      </w:r>
      <w:r w:rsidR="00D96F9A">
        <w:rPr>
          <w:sz w:val="28"/>
          <w:szCs w:val="28"/>
        </w:rPr>
        <w:t>»</w:t>
      </w:r>
      <w:r w:rsidR="00F25849">
        <w:rPr>
          <w:sz w:val="28"/>
          <w:szCs w:val="28"/>
        </w:rPr>
        <w:t xml:space="preserve"> ДП «Ліси України»</w:t>
      </w:r>
      <w:r w:rsidRPr="00273EC8">
        <w:rPr>
          <w:sz w:val="28"/>
          <w:szCs w:val="28"/>
        </w:rPr>
        <w:t xml:space="preserve">,  ТОВ «Органік </w:t>
      </w:r>
      <w:proofErr w:type="spellStart"/>
      <w:r w:rsidRPr="00273EC8">
        <w:rPr>
          <w:sz w:val="28"/>
          <w:szCs w:val="28"/>
        </w:rPr>
        <w:t>мілк</w:t>
      </w:r>
      <w:proofErr w:type="spellEnd"/>
      <w:r w:rsidRPr="00273EC8">
        <w:rPr>
          <w:sz w:val="28"/>
          <w:szCs w:val="28"/>
        </w:rPr>
        <w:t>», ТОВ «Органічний м'ясний продукт», ТОВ «Баранівський молокозавод», ТОВ «</w:t>
      </w:r>
      <w:proofErr w:type="spellStart"/>
      <w:r w:rsidRPr="00273EC8">
        <w:rPr>
          <w:sz w:val="28"/>
          <w:szCs w:val="28"/>
        </w:rPr>
        <w:t>Декоркераміка</w:t>
      </w:r>
      <w:proofErr w:type="spellEnd"/>
      <w:r w:rsidRPr="00273EC8">
        <w:rPr>
          <w:sz w:val="28"/>
          <w:szCs w:val="28"/>
        </w:rPr>
        <w:t>», ТОВ «Декор Україна»,   ТОВ «</w:t>
      </w:r>
      <w:proofErr w:type="spellStart"/>
      <w:r w:rsidRPr="00273EC8">
        <w:rPr>
          <w:sz w:val="28"/>
          <w:szCs w:val="28"/>
        </w:rPr>
        <w:t>Полянківська</w:t>
      </w:r>
      <w:proofErr w:type="spellEnd"/>
      <w:r w:rsidRPr="00273EC8">
        <w:rPr>
          <w:sz w:val="28"/>
          <w:szCs w:val="28"/>
        </w:rPr>
        <w:t xml:space="preserve"> кераміка», ДП «Шпат», Баранівська філія СП «Ріф-1» та інші.</w:t>
      </w:r>
    </w:p>
    <w:p w14:paraId="3821B896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273EC8">
        <w:rPr>
          <w:sz w:val="28"/>
          <w:szCs w:val="28"/>
        </w:rPr>
        <w:t xml:space="preserve">        У зв’язку з військовою агресією Російської Федерації проти України, деякі підприємства тимчасово призупиняли свою діяльність, в тому числі такі бюджетоутворюючі підприємства району: ТОВ «</w:t>
      </w:r>
      <w:proofErr w:type="spellStart"/>
      <w:r w:rsidRPr="00273EC8">
        <w:rPr>
          <w:sz w:val="28"/>
          <w:szCs w:val="28"/>
        </w:rPr>
        <w:t>Церсаніт</w:t>
      </w:r>
      <w:proofErr w:type="spellEnd"/>
      <w:r w:rsidRPr="00273EC8">
        <w:rPr>
          <w:sz w:val="28"/>
          <w:szCs w:val="28"/>
        </w:rPr>
        <w:t>-Інвест»,                              ТОВ “</w:t>
      </w:r>
      <w:proofErr w:type="spellStart"/>
      <w:r w:rsidRPr="00273EC8">
        <w:rPr>
          <w:sz w:val="28"/>
          <w:szCs w:val="28"/>
        </w:rPr>
        <w:t>Техна</w:t>
      </w:r>
      <w:proofErr w:type="spellEnd"/>
      <w:r w:rsidRPr="00273EC8">
        <w:rPr>
          <w:sz w:val="28"/>
          <w:szCs w:val="28"/>
        </w:rPr>
        <w:t xml:space="preserve">”, </w:t>
      </w:r>
      <w:bookmarkStart w:id="4" w:name="_Hlk126240534"/>
      <w:r w:rsidRPr="00273EC8">
        <w:rPr>
          <w:sz w:val="28"/>
          <w:szCs w:val="28"/>
        </w:rPr>
        <w:t>ПрАТ «</w:t>
      </w:r>
      <w:proofErr w:type="spellStart"/>
      <w:r w:rsidRPr="00273EC8">
        <w:rPr>
          <w:sz w:val="28"/>
          <w:szCs w:val="28"/>
        </w:rPr>
        <w:t>Мар’янівський</w:t>
      </w:r>
      <w:proofErr w:type="spellEnd"/>
      <w:r w:rsidRPr="00273EC8">
        <w:rPr>
          <w:sz w:val="28"/>
          <w:szCs w:val="28"/>
        </w:rPr>
        <w:t xml:space="preserve"> склозавод».   </w:t>
      </w:r>
      <w:bookmarkEnd w:id="4"/>
      <w:r w:rsidRPr="00273EC8">
        <w:rPr>
          <w:sz w:val="28"/>
          <w:szCs w:val="28"/>
        </w:rPr>
        <w:t xml:space="preserve">Внаслідок цього відбулося значне зменшення обсягу виробництва та реалізації   промислової продукції. Обсяг реалізованої промислової продукції </w:t>
      </w:r>
      <w:r w:rsidRPr="00273EC8">
        <w:rPr>
          <w:color w:val="000000" w:themeColor="text1"/>
          <w:sz w:val="28"/>
          <w:szCs w:val="28"/>
        </w:rPr>
        <w:t>промисловими підприємствами району основного кола статистичної звітності за 2022 року  становить 2,41 млрд. грн., що на 36 %  менше до минулого року.</w:t>
      </w:r>
    </w:p>
    <w:p w14:paraId="00B3139C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273EC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AE06D1" wp14:editId="644842FC">
            <wp:simplePos x="0" y="0"/>
            <wp:positionH relativeFrom="margin">
              <wp:align>left</wp:align>
            </wp:positionH>
            <wp:positionV relativeFrom="paragraph">
              <wp:posOffset>203836</wp:posOffset>
            </wp:positionV>
            <wp:extent cx="5581650" cy="3219450"/>
            <wp:effectExtent l="0" t="0" r="0" b="0"/>
            <wp:wrapNone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3F53A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3FE39CB2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19FF29F7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6CF99F47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3F6049A0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6BF54914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3C0168D2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1D1F1124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4BE1452E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1C27CAE8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3D9FEDEA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3B76F65C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5DD604C8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768252EE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00B47258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25935371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1FF4D5BE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14:paraId="0EB8A824" w14:textId="77777777" w:rsidR="005021BA" w:rsidRPr="00273EC8" w:rsidRDefault="005021BA" w:rsidP="005021BA">
      <w:pPr>
        <w:tabs>
          <w:tab w:val="left" w:pos="567"/>
          <w:tab w:val="left" w:pos="709"/>
        </w:tabs>
        <w:jc w:val="right"/>
        <w:rPr>
          <w:color w:val="000000" w:themeColor="text1"/>
          <w:sz w:val="28"/>
          <w:szCs w:val="28"/>
        </w:rPr>
      </w:pPr>
    </w:p>
    <w:p w14:paraId="5D171B32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Разом з тим,  в липні 2022 року  швейною фабрикою «LESYA» спільно з датськими партнерами ТМ «</w:t>
      </w:r>
      <w:proofErr w:type="spellStart"/>
      <w:r w:rsidRPr="00273EC8">
        <w:rPr>
          <w:sz w:val="28"/>
          <w:szCs w:val="28"/>
        </w:rPr>
        <w:t>Dilling</w:t>
      </w:r>
      <w:proofErr w:type="spellEnd"/>
      <w:r w:rsidRPr="00273EC8">
        <w:rPr>
          <w:sz w:val="28"/>
          <w:szCs w:val="28"/>
        </w:rPr>
        <w:t>» розпочато новий проект – відкриття лінії з пошиття виробів з трикотажу.</w:t>
      </w:r>
    </w:p>
    <w:p w14:paraId="5A7B3281" w14:textId="77777777" w:rsidR="005021BA" w:rsidRPr="00273EC8" w:rsidRDefault="005021BA" w:rsidP="005021BA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 w:rsidRPr="00273EC8">
        <w:rPr>
          <w:rFonts w:eastAsia="Calibri"/>
          <w:sz w:val="28"/>
          <w:szCs w:val="28"/>
        </w:rPr>
        <w:t xml:space="preserve">        До  кінця 2023 року, компанія «LESYA» разом з ТМ «</w:t>
      </w:r>
      <w:proofErr w:type="spellStart"/>
      <w:r w:rsidRPr="00273EC8">
        <w:rPr>
          <w:rFonts w:eastAsia="Calibri"/>
          <w:sz w:val="28"/>
          <w:szCs w:val="28"/>
        </w:rPr>
        <w:t>Dilling</w:t>
      </w:r>
      <w:proofErr w:type="spellEnd"/>
      <w:r w:rsidRPr="00273EC8">
        <w:rPr>
          <w:rFonts w:eastAsia="Calibri"/>
          <w:sz w:val="28"/>
          <w:szCs w:val="28"/>
        </w:rPr>
        <w:t>» планує будівництво та відкриття нового швейно-виробничого комплексу з виробничою потужністю у 350 робочих місць.</w:t>
      </w:r>
    </w:p>
    <w:p w14:paraId="434D5F39" w14:textId="77777777" w:rsidR="005021BA" w:rsidRPr="00273EC8" w:rsidRDefault="005021BA" w:rsidP="005021BA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</w:p>
    <w:p w14:paraId="0A4AD7D1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 В промисловості району найбільшу питому вагу займають такі галузі:              </w:t>
      </w:r>
    </w:p>
    <w:p w14:paraId="744612B0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>-   виробництво іншої неметалевої мінеральної   продукції  -  83,3 %  (це продукція ТОВ «</w:t>
      </w:r>
      <w:proofErr w:type="spellStart"/>
      <w:r w:rsidRPr="00273EC8">
        <w:rPr>
          <w:sz w:val="28"/>
          <w:szCs w:val="28"/>
        </w:rPr>
        <w:t>Церсаніт</w:t>
      </w:r>
      <w:proofErr w:type="spellEnd"/>
      <w:r w:rsidRPr="00273EC8">
        <w:rPr>
          <w:sz w:val="28"/>
          <w:szCs w:val="28"/>
        </w:rPr>
        <w:t xml:space="preserve"> Інвест», ПрАТ «</w:t>
      </w:r>
      <w:proofErr w:type="spellStart"/>
      <w:r w:rsidRPr="00273EC8">
        <w:rPr>
          <w:sz w:val="28"/>
          <w:szCs w:val="28"/>
        </w:rPr>
        <w:t>Мар’янівський</w:t>
      </w:r>
      <w:proofErr w:type="spellEnd"/>
      <w:r w:rsidRPr="00273EC8">
        <w:rPr>
          <w:sz w:val="28"/>
          <w:szCs w:val="28"/>
        </w:rPr>
        <w:t xml:space="preserve"> склозавод»);</w:t>
      </w:r>
    </w:p>
    <w:p w14:paraId="4ABA8D7E" w14:textId="77777777" w:rsidR="00D96F9A" w:rsidRDefault="005021BA" w:rsidP="00D96F9A">
      <w:r w:rsidRPr="00273EC8">
        <w:rPr>
          <w:sz w:val="28"/>
          <w:szCs w:val="28"/>
        </w:rPr>
        <w:t>-   оброблення деревини та виробництво виробів з деревини – 8,7  % (ТОВ «</w:t>
      </w:r>
      <w:proofErr w:type="spellStart"/>
      <w:r w:rsidRPr="00273EC8">
        <w:rPr>
          <w:sz w:val="28"/>
          <w:szCs w:val="28"/>
        </w:rPr>
        <w:t>Банковський</w:t>
      </w:r>
      <w:proofErr w:type="spellEnd"/>
      <w:r w:rsidRPr="00273EC8">
        <w:rPr>
          <w:sz w:val="28"/>
          <w:szCs w:val="28"/>
        </w:rPr>
        <w:t xml:space="preserve">», </w:t>
      </w:r>
      <w:r w:rsidR="00D96F9A">
        <w:rPr>
          <w:sz w:val="28"/>
          <w:szCs w:val="28"/>
        </w:rPr>
        <w:t xml:space="preserve"> </w:t>
      </w:r>
      <w:r w:rsidR="00D96F9A">
        <w:rPr>
          <w:sz w:val="28"/>
          <w:szCs w:val="28"/>
        </w:rPr>
        <w:t>Філія «</w:t>
      </w:r>
      <w:r w:rsidR="00D96F9A" w:rsidRPr="00273EC8">
        <w:rPr>
          <w:sz w:val="28"/>
          <w:szCs w:val="28"/>
        </w:rPr>
        <w:t>Ємільчинське лісове господарство</w:t>
      </w:r>
      <w:r w:rsidR="00D96F9A">
        <w:rPr>
          <w:sz w:val="28"/>
          <w:szCs w:val="28"/>
        </w:rPr>
        <w:t>» ДП «Ліси України»</w:t>
      </w:r>
      <w:r w:rsidR="00D96F9A" w:rsidRPr="00273EC8">
        <w:rPr>
          <w:sz w:val="28"/>
          <w:szCs w:val="28"/>
        </w:rPr>
        <w:t xml:space="preserve">, </w:t>
      </w:r>
    </w:p>
    <w:p w14:paraId="3F47D8C2" w14:textId="59B576AE" w:rsidR="005021BA" w:rsidRPr="00D96F9A" w:rsidRDefault="00D96F9A" w:rsidP="00D96F9A">
      <w:r>
        <w:rPr>
          <w:sz w:val="28"/>
          <w:szCs w:val="28"/>
        </w:rPr>
        <w:t>Філія «</w:t>
      </w:r>
      <w:r w:rsidRPr="00273EC8">
        <w:rPr>
          <w:sz w:val="28"/>
          <w:szCs w:val="28"/>
        </w:rPr>
        <w:t xml:space="preserve">Баранівське </w:t>
      </w:r>
      <w:r w:rsidRPr="002F750F">
        <w:rPr>
          <w:sz w:val="28"/>
          <w:szCs w:val="28"/>
        </w:rPr>
        <w:t>лісове господарство</w:t>
      </w:r>
      <w:r>
        <w:rPr>
          <w:sz w:val="28"/>
          <w:szCs w:val="28"/>
        </w:rPr>
        <w:t>» ДП «Ліси України»</w:t>
      </w:r>
      <w:r w:rsidR="005021BA" w:rsidRPr="00273EC8">
        <w:rPr>
          <w:sz w:val="28"/>
          <w:szCs w:val="28"/>
        </w:rPr>
        <w:t>, ТОВ «</w:t>
      </w:r>
      <w:proofErr w:type="spellStart"/>
      <w:r w:rsidR="005021BA" w:rsidRPr="00273EC8">
        <w:rPr>
          <w:sz w:val="28"/>
          <w:szCs w:val="28"/>
        </w:rPr>
        <w:t>Вудпак</w:t>
      </w:r>
      <w:proofErr w:type="spellEnd"/>
      <w:r w:rsidR="005021BA" w:rsidRPr="00273EC8">
        <w:rPr>
          <w:sz w:val="28"/>
          <w:szCs w:val="28"/>
        </w:rPr>
        <w:t>»,   ПП «Дубчак»);</w:t>
      </w:r>
    </w:p>
    <w:p w14:paraId="425356D4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>- добувна промисловість – 7,1 % (</w:t>
      </w:r>
      <w:bookmarkStart w:id="5" w:name="_Hlk126241215"/>
      <w:r w:rsidRPr="00273EC8">
        <w:rPr>
          <w:sz w:val="28"/>
          <w:szCs w:val="28"/>
        </w:rPr>
        <w:t xml:space="preserve">ТОВ «Труд» </w:t>
      </w:r>
      <w:bookmarkEnd w:id="5"/>
      <w:r w:rsidRPr="00273EC8">
        <w:rPr>
          <w:sz w:val="28"/>
          <w:szCs w:val="28"/>
        </w:rPr>
        <w:t>та ТОВ «Новоград-Волинський каменедробильний завод», ТОВ «ПЕЛЛЕТ-ЕНЕРГО ЄМІЛЬЧИНЕ»);</w:t>
      </w:r>
    </w:p>
    <w:p w14:paraId="1236E061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>-   легка промисловість  -  0,6 % (ПАТ «Новоград-Волинський льонозавод», ПАТ «ВКФ «Леся»);</w:t>
      </w:r>
    </w:p>
    <w:p w14:paraId="5E4AA927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- виробництво харчових продуктів – 0,3 % (ПАТ «Новоград-Волинський хлібозавод», ПАТ «Ємільчинський хлібозавод»).  </w:t>
      </w:r>
    </w:p>
    <w:p w14:paraId="714814AE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</w:p>
    <w:p w14:paraId="754E5D68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noProof/>
          <w:sz w:val="28"/>
          <w:szCs w:val="28"/>
        </w:rPr>
        <w:drawing>
          <wp:inline distT="0" distB="0" distL="0" distR="0" wp14:anchorId="433EAD31" wp14:editId="5686FD00">
            <wp:extent cx="5972175" cy="33337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6244E8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</w:p>
    <w:p w14:paraId="06FA684E" w14:textId="77777777" w:rsidR="005021BA" w:rsidRPr="00273EC8" w:rsidRDefault="005021BA" w:rsidP="005021BA">
      <w:pPr>
        <w:tabs>
          <w:tab w:val="left" w:pos="540"/>
          <w:tab w:val="left" w:pos="567"/>
        </w:tabs>
        <w:ind w:firstLine="720"/>
        <w:jc w:val="both"/>
        <w:rPr>
          <w:sz w:val="28"/>
          <w:szCs w:val="28"/>
          <w:u w:val="single"/>
        </w:rPr>
      </w:pPr>
    </w:p>
    <w:p w14:paraId="4F801AA7" w14:textId="77777777" w:rsidR="005021BA" w:rsidRPr="00273EC8" w:rsidRDefault="005021BA" w:rsidP="005021BA">
      <w:pPr>
        <w:tabs>
          <w:tab w:val="left" w:pos="540"/>
          <w:tab w:val="left" w:pos="567"/>
        </w:tabs>
        <w:ind w:firstLine="720"/>
        <w:jc w:val="both"/>
        <w:rPr>
          <w:b/>
          <w:bCs/>
          <w:sz w:val="28"/>
          <w:szCs w:val="28"/>
          <w:u w:val="single"/>
        </w:rPr>
      </w:pPr>
      <w:r w:rsidRPr="00273EC8">
        <w:rPr>
          <w:b/>
          <w:bCs/>
          <w:sz w:val="28"/>
          <w:szCs w:val="28"/>
          <w:u w:val="single"/>
        </w:rPr>
        <w:t>Добувна галузь</w:t>
      </w:r>
    </w:p>
    <w:p w14:paraId="008B59DB" w14:textId="77777777" w:rsidR="005021BA" w:rsidRPr="00273EC8" w:rsidRDefault="005021BA" w:rsidP="005021BA">
      <w:pPr>
        <w:tabs>
          <w:tab w:val="left" w:pos="540"/>
          <w:tab w:val="left" w:pos="567"/>
        </w:tabs>
        <w:ind w:firstLine="720"/>
        <w:jc w:val="both"/>
        <w:rPr>
          <w:b/>
          <w:bCs/>
          <w:sz w:val="28"/>
          <w:szCs w:val="28"/>
          <w:u w:val="single"/>
        </w:rPr>
      </w:pPr>
    </w:p>
    <w:p w14:paraId="7D02CA39" w14:textId="77777777" w:rsidR="005021BA" w:rsidRPr="00273EC8" w:rsidRDefault="005021BA" w:rsidP="005021BA">
      <w:pPr>
        <w:ind w:left="284"/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На  території району можна знайти ряд корисних копалин, які мають значення для промисловості та економіки регіону. Основні корисні копалини, які можна знайти в районі, включають наступні: </w:t>
      </w:r>
    </w:p>
    <w:p w14:paraId="6F14D83A" w14:textId="77777777" w:rsidR="005021BA" w:rsidRPr="00273EC8" w:rsidRDefault="005021BA" w:rsidP="005021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3EC8">
        <w:rPr>
          <w:sz w:val="28"/>
          <w:szCs w:val="28"/>
        </w:rPr>
        <w:lastRenderedPageBreak/>
        <w:t>Глина: Глина в районі є широко поширеною і відомою своїми якісними характеристиками. Ця корисна копалина використовується в керамічній промисловості для виготовлення цегли, плитки, посуду та інших керамічних виробів. Глиняні родовища Новоград-Волинського району є цінним ресурсом для місцевих керамічних підприємств і сприяють розвитку цієї галузі.</w:t>
      </w:r>
    </w:p>
    <w:p w14:paraId="0DB827A1" w14:textId="77777777" w:rsidR="005021BA" w:rsidRPr="00273EC8" w:rsidRDefault="005021BA" w:rsidP="005021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3EC8">
        <w:rPr>
          <w:sz w:val="28"/>
          <w:szCs w:val="28"/>
        </w:rPr>
        <w:t>Вапняк: На території Новоград-Волинського району знаходяться значні поклади вапняку. Вапняк є важливою сировиною для будівельної і промислової галузей. Він використовується для виготовлення цементу, вапнякового каменю, вапнякового порошку та інших будівельних матеріалів. Вапнякові кар'єри Новоград-Волинського району забезпечують сировину для будівництва, реконструкції та інфраструктурних проектів в регіоні.</w:t>
      </w:r>
    </w:p>
    <w:p w14:paraId="6CD4F705" w14:textId="77777777" w:rsidR="005021BA" w:rsidRPr="00273EC8" w:rsidRDefault="005021BA" w:rsidP="005021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Пісок: На території району також присутні значні поклади піску. Пісок є важливою корисною копалиною в будівельній промисловості, особливо для виробництва бетону і скла. Він використовується для будівництва будівель, доріг, виробництва скляних виробів та інших продуктів. </w:t>
      </w:r>
    </w:p>
    <w:p w14:paraId="6D6E3F65" w14:textId="77777777" w:rsidR="005021BA" w:rsidRPr="00273EC8" w:rsidRDefault="005021BA" w:rsidP="005021BA">
      <w:pPr>
        <w:tabs>
          <w:tab w:val="left" w:pos="540"/>
          <w:tab w:val="left" w:pos="567"/>
        </w:tabs>
        <w:ind w:firstLine="720"/>
        <w:jc w:val="both"/>
        <w:rPr>
          <w:b/>
          <w:bCs/>
          <w:sz w:val="28"/>
          <w:szCs w:val="28"/>
          <w:u w:val="single"/>
        </w:rPr>
      </w:pPr>
    </w:p>
    <w:p w14:paraId="3982F8EF" w14:textId="77777777" w:rsidR="005021BA" w:rsidRPr="00273EC8" w:rsidRDefault="005021BA" w:rsidP="005021BA">
      <w:pPr>
        <w:tabs>
          <w:tab w:val="left" w:pos="540"/>
          <w:tab w:val="left" w:pos="567"/>
        </w:tabs>
        <w:jc w:val="center"/>
        <w:rPr>
          <w:b/>
          <w:bCs/>
          <w:sz w:val="28"/>
          <w:szCs w:val="28"/>
          <w:u w:val="single"/>
        </w:rPr>
      </w:pPr>
      <w:r w:rsidRPr="00273EC8">
        <w:rPr>
          <w:b/>
          <w:bCs/>
          <w:sz w:val="28"/>
          <w:szCs w:val="28"/>
          <w:u w:val="single"/>
        </w:rPr>
        <w:t>Корисні копалин на території району</w:t>
      </w:r>
    </w:p>
    <w:p w14:paraId="7094AA62" w14:textId="77777777" w:rsidR="005021BA" w:rsidRPr="00273EC8" w:rsidRDefault="005021BA" w:rsidP="005021BA">
      <w:pPr>
        <w:tabs>
          <w:tab w:val="left" w:pos="540"/>
          <w:tab w:val="left" w:pos="567"/>
        </w:tabs>
        <w:ind w:firstLine="720"/>
        <w:jc w:val="both"/>
        <w:rPr>
          <w:b/>
          <w:bCs/>
          <w:sz w:val="28"/>
          <w:szCs w:val="28"/>
          <w:u w:val="single"/>
        </w:rPr>
      </w:pPr>
    </w:p>
    <w:tbl>
      <w:tblPr>
        <w:tblW w:w="102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443"/>
        <w:gridCol w:w="1606"/>
        <w:gridCol w:w="1487"/>
        <w:gridCol w:w="1747"/>
        <w:gridCol w:w="1606"/>
        <w:gridCol w:w="1232"/>
      </w:tblGrid>
      <w:tr w:rsidR="005021BA" w:rsidRPr="00273EC8" w14:paraId="151C053F" w14:textId="77777777" w:rsidTr="005021BA">
        <w:trPr>
          <w:trHeight w:val="1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2596F56" w14:textId="77777777" w:rsidR="005021BA" w:rsidRPr="00273EC8" w:rsidRDefault="005021BA" w:rsidP="00D726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Територіальна громада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C10E1EE" w14:textId="77777777" w:rsidR="005021BA" w:rsidRPr="00273EC8" w:rsidRDefault="005021BA" w:rsidP="00D726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Населений пункт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EB816F6" w14:textId="77777777" w:rsidR="005021BA" w:rsidRPr="00273EC8" w:rsidRDefault="005021BA" w:rsidP="00D726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Вид корисної копалин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755E1B6" w14:textId="032434CB" w:rsidR="005021BA" w:rsidRPr="00273EC8" w:rsidRDefault="005021BA" w:rsidP="00D726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Прив’язка на місцевості ( назва населеного пункту і відстань до місця видобування)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4C0F72F" w14:textId="6135715C" w:rsidR="005021BA" w:rsidRPr="00273EC8" w:rsidRDefault="005021BA" w:rsidP="00D726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Чи розроблюється дане родовище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9D7877C" w14:textId="77777777" w:rsidR="005021BA" w:rsidRPr="00273EC8" w:rsidRDefault="005021BA" w:rsidP="00D726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Запаси корисних копалин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C758FD8" w14:textId="77777777" w:rsidR="005021BA" w:rsidRPr="00273EC8" w:rsidRDefault="005021BA" w:rsidP="00D726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Площа родовища</w:t>
            </w:r>
          </w:p>
        </w:tc>
      </w:tr>
      <w:tr w:rsidR="005021BA" w:rsidRPr="00273EC8" w14:paraId="08D1EAB9" w14:textId="77777777" w:rsidTr="005021BA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0911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Стриївська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C072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Немильня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A53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пісок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F39E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с.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Немильня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-  2,3 км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B68F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4B3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інформація відсутня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CE52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50</w:t>
            </w:r>
          </w:p>
        </w:tc>
      </w:tr>
      <w:tr w:rsidR="005021BA" w:rsidRPr="00273EC8" w14:paraId="13E85618" w14:textId="77777777" w:rsidTr="005021BA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60E5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Стриївська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190A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Немильня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8B8B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каулін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первинний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378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с.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Немильня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-  2,8 км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FC53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E48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1093,0 тис.м³           на 20 років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E9DB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20</w:t>
            </w:r>
          </w:p>
        </w:tc>
      </w:tr>
      <w:tr w:rsidR="005021BA" w:rsidRPr="00273EC8" w14:paraId="00087D28" w14:textId="77777777" w:rsidTr="005021BA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0E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Стриївська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6AA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Гульськ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4D01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граніт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EC04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с.Гульськ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- 7,5 км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2852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CDF1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інформація відсутня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9600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10</w:t>
            </w:r>
          </w:p>
        </w:tc>
      </w:tr>
      <w:tr w:rsidR="005021BA" w:rsidRPr="00273EC8" w14:paraId="26E719E5" w14:textId="77777777" w:rsidTr="005021BA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2472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Стриївська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1D1B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Сусли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674E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граніт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F4A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1.0  км  на  південь від</w:t>
            </w:r>
            <w:r w:rsidRPr="00273EC8">
              <w:rPr>
                <w:color w:val="000000"/>
                <w:sz w:val="28"/>
                <w:szCs w:val="28"/>
                <w:lang w:eastAsia="uk-UA"/>
              </w:rPr>
              <w:br/>
              <w:t xml:space="preserve">м. Новоград - </w:t>
            </w:r>
            <w:r w:rsidRPr="00273EC8">
              <w:rPr>
                <w:color w:val="000000"/>
                <w:sz w:val="28"/>
                <w:szCs w:val="28"/>
                <w:lang w:eastAsia="uk-UA"/>
              </w:rPr>
              <w:lastRenderedPageBreak/>
              <w:t>Волинський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71EE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lastRenderedPageBreak/>
              <w:t>так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610B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інформація відсутня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DBE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149,984 га</w:t>
            </w:r>
          </w:p>
        </w:tc>
      </w:tr>
      <w:tr w:rsidR="005021BA" w:rsidRPr="00273EC8" w14:paraId="7FB0F4DF" w14:textId="77777777" w:rsidTr="005021BA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3758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Городницька ТГ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D394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с. Прихід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BFD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пісок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кварцевий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643C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с. Прихід 100 м.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366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CB5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1057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тис.тон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96FC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4,8 га.</w:t>
            </w:r>
          </w:p>
        </w:tc>
      </w:tr>
      <w:tr w:rsidR="005021BA" w:rsidRPr="00273EC8" w14:paraId="436E219A" w14:textId="77777777" w:rsidTr="005021BA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91C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Брониківська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ТГ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88CE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Нова Романівка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1450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граніт,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гейсів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13DC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1.5ки на схід від с. Нова Романівка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ADC0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558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інформація відсутня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C70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15 га</w:t>
            </w:r>
          </w:p>
        </w:tc>
      </w:tr>
      <w:tr w:rsidR="005021BA" w:rsidRPr="00273EC8" w14:paraId="643FA1CD" w14:textId="77777777" w:rsidTr="005021BA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EFA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Чижівська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ТГ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CA49" w14:textId="65D90815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Карпилівка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2CA9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пісок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1694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1.0  км  на  схід від</w:t>
            </w:r>
            <w:r w:rsidRPr="00273EC8">
              <w:rPr>
                <w:color w:val="000000"/>
                <w:sz w:val="28"/>
                <w:szCs w:val="28"/>
                <w:lang w:eastAsia="uk-UA"/>
              </w:rPr>
              <w:br/>
              <w:t>с. Карпилівка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F4A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3A3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683,6 тис.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куб.м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E74A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4,8957</w:t>
            </w:r>
          </w:p>
        </w:tc>
      </w:tr>
      <w:tr w:rsidR="005021BA" w:rsidRPr="00273EC8" w14:paraId="1BFFCA75" w14:textId="77777777" w:rsidTr="005021BA">
        <w:trPr>
          <w:trHeight w:val="10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1DD8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Баранівська МТГ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E8A5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м. Баранівка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E179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Пісок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CF80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1,0 км на північний схід від північної околиці  м. Баранівка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34BF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55A8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На 01.01.2023р. - 28,7 тис.м3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F8C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3,04 га</w:t>
            </w:r>
          </w:p>
        </w:tc>
      </w:tr>
      <w:tr w:rsidR="005021BA" w:rsidRPr="00273EC8" w14:paraId="01A92F40" w14:textId="77777777" w:rsidTr="005021BA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B941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Баранівська МТГ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C8C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с.Йосипівка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762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каолін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7362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в межах населеного пункту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5FCC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163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інформація відсутня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EE42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10,0га</w:t>
            </w:r>
          </w:p>
        </w:tc>
      </w:tr>
      <w:tr w:rsidR="005021BA" w:rsidRPr="00273EC8" w14:paraId="635DC1D0" w14:textId="77777777" w:rsidTr="005021BA">
        <w:trPr>
          <w:trHeight w:val="10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527C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Баранівська МТГ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4DA5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с.Глибочок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75C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пегматит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2E0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0,5 км на північний схід від північної околиці 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с.Глибочок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C179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0D68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інформація відсутня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2F71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11,8</w:t>
            </w:r>
          </w:p>
        </w:tc>
      </w:tr>
      <w:tr w:rsidR="005021BA" w:rsidRPr="00273EC8" w14:paraId="0D960D2D" w14:textId="77777777" w:rsidTr="005021BA">
        <w:trPr>
          <w:trHeight w:val="377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3882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Ємільчинська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94F0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Симони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A07E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рожево-червоні граніти, сірі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порфіровидні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граніти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CB6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родовище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Симонівське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>, біля східної околиці села Симони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03A4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так, ТОВ «Кам’яне сузір’я», код ЄДРПОУ 32857890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8BC3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незмінені рожево-червоні граніти 856 тис.м3, сірі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порфіровидні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граніти 491,5 тис.м3, порушені граніти 137 тис.м3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81DE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10 га</w:t>
            </w:r>
          </w:p>
        </w:tc>
      </w:tr>
      <w:tr w:rsidR="005021BA" w:rsidRPr="00273EC8" w14:paraId="0FF49CE6" w14:textId="77777777" w:rsidTr="005021BA">
        <w:trPr>
          <w:trHeight w:val="2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1D8F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lastRenderedPageBreak/>
              <w:t>Ємільчинська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E93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Симони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BCE4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граніти, придатні для виробництва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щебеню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та бутового каменю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75D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родовище Симонівське-3, біля південно-східної околиці села Симони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41BA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2BC7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граніти, придатні для виробництва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щебеню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та бутового каменю 40182 тис.м3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3568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60 га</w:t>
            </w:r>
          </w:p>
        </w:tc>
      </w:tr>
      <w:tr w:rsidR="005021BA" w:rsidRPr="00273EC8" w14:paraId="384C0634" w14:textId="77777777" w:rsidTr="005021BA">
        <w:trPr>
          <w:trHeight w:val="2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DF80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Ємільчинська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0F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Андрієвичі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07CC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граніти, придатні для виробництва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щебеню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та бутового каменю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15D1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родовище Барановське, біля північно-східної околиці села Андрієвичі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E4BE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2391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граніти, придатні для виробництва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щебеню</w:t>
            </w:r>
            <w:proofErr w:type="spellEnd"/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та бутового каменю 35818 тис.м3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43A5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81 га</w:t>
            </w:r>
          </w:p>
        </w:tc>
      </w:tr>
      <w:tr w:rsidR="005021BA" w:rsidRPr="00273EC8" w14:paraId="5B4A6335" w14:textId="77777777" w:rsidTr="005021BA">
        <w:trPr>
          <w:trHeight w:val="2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DD12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Ємільчинська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CFC2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uk-UA"/>
              </w:rPr>
            </w:pPr>
            <w:r w:rsidRPr="00273EC8">
              <w:rPr>
                <w:sz w:val="28"/>
                <w:szCs w:val="28"/>
                <w:lang w:eastAsia="uk-UA"/>
              </w:rPr>
              <w:t>Нараївка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259C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uk-UA"/>
              </w:rPr>
            </w:pPr>
            <w:r w:rsidRPr="00273EC8">
              <w:rPr>
                <w:sz w:val="28"/>
                <w:szCs w:val="28"/>
                <w:lang w:eastAsia="uk-UA"/>
              </w:rPr>
              <w:t xml:space="preserve">граніти, придатні для виробництва </w:t>
            </w:r>
            <w:proofErr w:type="spellStart"/>
            <w:r w:rsidRPr="00273EC8">
              <w:rPr>
                <w:sz w:val="28"/>
                <w:szCs w:val="28"/>
                <w:lang w:eastAsia="uk-UA"/>
              </w:rPr>
              <w:t>щебеню</w:t>
            </w:r>
            <w:proofErr w:type="spellEnd"/>
            <w:r w:rsidRPr="00273EC8">
              <w:rPr>
                <w:sz w:val="28"/>
                <w:szCs w:val="28"/>
                <w:lang w:eastAsia="uk-UA"/>
              </w:rPr>
              <w:t xml:space="preserve"> та бутового каменю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AD3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uk-UA"/>
              </w:rPr>
            </w:pPr>
            <w:r w:rsidRPr="00273EC8">
              <w:rPr>
                <w:sz w:val="28"/>
                <w:szCs w:val="28"/>
                <w:lang w:eastAsia="uk-UA"/>
              </w:rPr>
              <w:t xml:space="preserve">родовище </w:t>
            </w:r>
            <w:proofErr w:type="spellStart"/>
            <w:r w:rsidRPr="00273EC8">
              <w:rPr>
                <w:sz w:val="28"/>
                <w:szCs w:val="28"/>
                <w:lang w:eastAsia="uk-UA"/>
              </w:rPr>
              <w:t>Нараївське</w:t>
            </w:r>
            <w:proofErr w:type="spellEnd"/>
            <w:r w:rsidRPr="00273EC8">
              <w:rPr>
                <w:sz w:val="28"/>
                <w:szCs w:val="28"/>
                <w:lang w:eastAsia="uk-UA"/>
              </w:rPr>
              <w:t xml:space="preserve">, на північний схід від села </w:t>
            </w:r>
            <w:proofErr w:type="spellStart"/>
            <w:r w:rsidRPr="00273EC8">
              <w:rPr>
                <w:sz w:val="28"/>
                <w:szCs w:val="28"/>
                <w:lang w:eastAsia="uk-UA"/>
              </w:rPr>
              <w:t>Непізнаничі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3AF4A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uk-UA"/>
              </w:rPr>
            </w:pPr>
            <w:r w:rsidRPr="00273EC8">
              <w:rPr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713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uk-UA"/>
              </w:rPr>
            </w:pPr>
            <w:r w:rsidRPr="00273EC8">
              <w:rPr>
                <w:sz w:val="28"/>
                <w:szCs w:val="28"/>
                <w:lang w:eastAsia="uk-UA"/>
              </w:rPr>
              <w:t xml:space="preserve">граніти, придатні для виробництва </w:t>
            </w:r>
            <w:proofErr w:type="spellStart"/>
            <w:r w:rsidRPr="00273EC8">
              <w:rPr>
                <w:sz w:val="28"/>
                <w:szCs w:val="28"/>
                <w:lang w:eastAsia="uk-UA"/>
              </w:rPr>
              <w:t>щебеню</w:t>
            </w:r>
            <w:proofErr w:type="spellEnd"/>
            <w:r w:rsidRPr="00273EC8">
              <w:rPr>
                <w:sz w:val="28"/>
                <w:szCs w:val="28"/>
                <w:lang w:eastAsia="uk-UA"/>
              </w:rPr>
              <w:t xml:space="preserve"> та бутового каменю 7605 тис.м3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21D3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uk-UA"/>
              </w:rPr>
            </w:pPr>
            <w:r w:rsidRPr="00273EC8">
              <w:rPr>
                <w:sz w:val="28"/>
                <w:szCs w:val="28"/>
                <w:lang w:eastAsia="uk-UA"/>
              </w:rPr>
              <w:t>17 га</w:t>
            </w:r>
          </w:p>
        </w:tc>
      </w:tr>
      <w:tr w:rsidR="005021BA" w:rsidRPr="00273EC8" w14:paraId="0D43F200" w14:textId="77777777" w:rsidTr="005021BA">
        <w:trPr>
          <w:trHeight w:val="137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D400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Ємільчинська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E57A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Великий Яблунець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859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глина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A689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родовище Велико-Яблунецьке-2 біля східної околиці села Великий Яблунець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7D7B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DBBD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суглинок 271 тис.м</w:t>
            </w:r>
            <w:r w:rsidRPr="00273EC8">
              <w:rPr>
                <w:color w:val="000000"/>
                <w:sz w:val="28"/>
                <w:szCs w:val="28"/>
                <w:vertAlign w:val="superscript"/>
                <w:lang w:eastAsia="uk-UA"/>
              </w:rPr>
              <w:t>3</w:t>
            </w: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 та пісок 18 тис.м</w:t>
            </w:r>
            <w:r w:rsidRPr="00273EC8">
              <w:rPr>
                <w:color w:val="000000"/>
                <w:sz w:val="28"/>
                <w:szCs w:val="28"/>
                <w:vertAlign w:val="superscript"/>
                <w:lang w:eastAsia="uk-UA"/>
              </w:rPr>
              <w:t>3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E181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10 га</w:t>
            </w:r>
          </w:p>
        </w:tc>
      </w:tr>
      <w:tr w:rsidR="005021BA" w:rsidRPr="00273EC8" w14:paraId="4D80B57F" w14:textId="77777777" w:rsidTr="005021BA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9F34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Ємільчинська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4004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Чміль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C726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глина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EABA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 xml:space="preserve">північна околиця села </w:t>
            </w:r>
            <w:proofErr w:type="spellStart"/>
            <w:r w:rsidRPr="00273EC8">
              <w:rPr>
                <w:color w:val="000000"/>
                <w:sz w:val="28"/>
                <w:szCs w:val="28"/>
                <w:lang w:eastAsia="uk-UA"/>
              </w:rPr>
              <w:t>Чміль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0A708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uk-UA"/>
              </w:rPr>
            </w:pPr>
            <w:r w:rsidRPr="00273EC8">
              <w:rPr>
                <w:sz w:val="28"/>
                <w:szCs w:val="28"/>
                <w:lang w:eastAsia="uk-UA"/>
              </w:rPr>
              <w:t xml:space="preserve">ні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9FFF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інформація відсутня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B50F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12 га</w:t>
            </w:r>
          </w:p>
        </w:tc>
      </w:tr>
      <w:tr w:rsidR="005021BA" w:rsidRPr="00273EC8" w14:paraId="03CFBE3C" w14:textId="77777777" w:rsidTr="005021BA">
        <w:trPr>
          <w:trHeight w:val="6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BA0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Ємільчинська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7AA9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Спаське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7B7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торф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38EF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на схід від села Спаське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1074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uk-UA"/>
              </w:rPr>
            </w:pPr>
            <w:r w:rsidRPr="00273EC8">
              <w:rPr>
                <w:sz w:val="28"/>
                <w:szCs w:val="28"/>
                <w:lang w:eastAsia="uk-UA"/>
              </w:rPr>
              <w:t>ні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EDA2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інформація відсутня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423D" w14:textId="77777777" w:rsidR="005021BA" w:rsidRPr="00273EC8" w:rsidRDefault="005021BA" w:rsidP="00D726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  <w:lang w:eastAsia="uk-UA"/>
              </w:rPr>
            </w:pPr>
            <w:r w:rsidRPr="00273EC8">
              <w:rPr>
                <w:color w:val="000000"/>
                <w:sz w:val="28"/>
                <w:szCs w:val="28"/>
                <w:lang w:eastAsia="uk-UA"/>
              </w:rPr>
              <w:t>340 га</w:t>
            </w:r>
          </w:p>
        </w:tc>
      </w:tr>
    </w:tbl>
    <w:p w14:paraId="53C1AD62" w14:textId="77777777" w:rsidR="005021BA" w:rsidRPr="00273EC8" w:rsidRDefault="005021BA" w:rsidP="005021BA">
      <w:pPr>
        <w:tabs>
          <w:tab w:val="left" w:pos="540"/>
          <w:tab w:val="left" w:pos="567"/>
        </w:tabs>
        <w:ind w:firstLine="720"/>
        <w:jc w:val="both"/>
        <w:rPr>
          <w:b/>
          <w:bCs/>
          <w:sz w:val="28"/>
          <w:szCs w:val="28"/>
          <w:u w:val="single"/>
        </w:rPr>
      </w:pPr>
    </w:p>
    <w:p w14:paraId="482566AB" w14:textId="77777777" w:rsidR="005021BA" w:rsidRPr="00273EC8" w:rsidRDefault="005021BA" w:rsidP="005021BA">
      <w:pPr>
        <w:tabs>
          <w:tab w:val="left" w:pos="540"/>
          <w:tab w:val="left" w:pos="567"/>
        </w:tabs>
        <w:ind w:firstLine="720"/>
        <w:jc w:val="both"/>
        <w:rPr>
          <w:sz w:val="28"/>
          <w:szCs w:val="28"/>
          <w:u w:val="single"/>
        </w:rPr>
      </w:pPr>
    </w:p>
    <w:p w14:paraId="5DE09572" w14:textId="77777777" w:rsidR="005021BA" w:rsidRPr="00273EC8" w:rsidRDefault="005021BA" w:rsidP="005021BA">
      <w:pPr>
        <w:tabs>
          <w:tab w:val="left" w:pos="540"/>
          <w:tab w:val="left" w:pos="567"/>
        </w:tabs>
        <w:ind w:firstLine="720"/>
        <w:jc w:val="both"/>
        <w:rPr>
          <w:b/>
          <w:sz w:val="28"/>
          <w:szCs w:val="28"/>
          <w:u w:val="single"/>
        </w:rPr>
      </w:pPr>
      <w:r w:rsidRPr="00273EC8">
        <w:rPr>
          <w:sz w:val="28"/>
          <w:szCs w:val="28"/>
          <w:u w:val="single"/>
        </w:rPr>
        <w:lastRenderedPageBreak/>
        <w:t> </w:t>
      </w:r>
      <w:r w:rsidRPr="00273EC8">
        <w:rPr>
          <w:b/>
          <w:sz w:val="28"/>
          <w:szCs w:val="28"/>
          <w:u w:val="single"/>
        </w:rPr>
        <w:t>Агропромисловий комплекс</w:t>
      </w:r>
    </w:p>
    <w:p w14:paraId="0BD222C4" w14:textId="77777777" w:rsidR="005021BA" w:rsidRPr="00273EC8" w:rsidRDefault="005021BA" w:rsidP="005021BA">
      <w:pPr>
        <w:shd w:val="clear" w:color="auto" w:fill="FFFFFF"/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273EC8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      В районі здійснюють діяльність 107 сільськогосподарських підприємств з них 41 фермерське господарство.</w:t>
      </w:r>
    </w:p>
    <w:p w14:paraId="178C5F58" w14:textId="77777777" w:rsidR="005021BA" w:rsidRPr="00273EC8" w:rsidRDefault="005021BA" w:rsidP="005021BA">
      <w:pPr>
        <w:rPr>
          <w:b/>
          <w:iCs/>
          <w:sz w:val="28"/>
          <w:szCs w:val="28"/>
        </w:rPr>
      </w:pPr>
      <w:r w:rsidRPr="00273EC8">
        <w:rPr>
          <w:b/>
          <w:iCs/>
          <w:sz w:val="28"/>
          <w:szCs w:val="28"/>
        </w:rPr>
        <w:t xml:space="preserve">          Валова продукція рослинництва і тваринництва.</w:t>
      </w:r>
    </w:p>
    <w:p w14:paraId="7F3277E6" w14:textId="77777777" w:rsidR="005021BA" w:rsidRPr="00273EC8" w:rsidRDefault="005021BA" w:rsidP="005021BA">
      <w:pPr>
        <w:rPr>
          <w:sz w:val="28"/>
          <w:szCs w:val="28"/>
        </w:rPr>
      </w:pPr>
      <w:r w:rsidRPr="00273EC8">
        <w:rPr>
          <w:sz w:val="28"/>
          <w:szCs w:val="28"/>
          <w:u w:val="single"/>
        </w:rPr>
        <w:t>Найбільші обсяги випуску продукції сільського господарства забезпечили підприємства:</w:t>
      </w:r>
    </w:p>
    <w:p w14:paraId="4E2EB6F4" w14:textId="77777777" w:rsidR="005021BA" w:rsidRPr="00273EC8" w:rsidRDefault="005021BA" w:rsidP="005021BA">
      <w:pPr>
        <w:rPr>
          <w:sz w:val="28"/>
          <w:szCs w:val="28"/>
        </w:rPr>
      </w:pPr>
      <w:r w:rsidRPr="00273EC8">
        <w:rPr>
          <w:sz w:val="28"/>
          <w:szCs w:val="28"/>
        </w:rPr>
        <w:t>-СТОВ «Птахівник», -ПСП «Граніт», -ПП «</w:t>
      </w:r>
      <w:proofErr w:type="spellStart"/>
      <w:r w:rsidRPr="00273EC8">
        <w:rPr>
          <w:sz w:val="28"/>
          <w:szCs w:val="28"/>
        </w:rPr>
        <w:t>Галекс</w:t>
      </w:r>
      <w:proofErr w:type="spellEnd"/>
      <w:r w:rsidRPr="00273EC8">
        <w:rPr>
          <w:sz w:val="28"/>
          <w:szCs w:val="28"/>
        </w:rPr>
        <w:t>-Агро», -СТОВ «</w:t>
      </w:r>
      <w:proofErr w:type="spellStart"/>
      <w:r w:rsidRPr="00273EC8">
        <w:rPr>
          <w:sz w:val="28"/>
          <w:szCs w:val="28"/>
        </w:rPr>
        <w:t>Агросоюз</w:t>
      </w:r>
      <w:proofErr w:type="spellEnd"/>
      <w:r w:rsidRPr="00273EC8">
        <w:rPr>
          <w:sz w:val="28"/>
          <w:szCs w:val="28"/>
        </w:rPr>
        <w:t>», СТОВ «</w:t>
      </w:r>
      <w:proofErr w:type="spellStart"/>
      <w:r w:rsidRPr="00273EC8">
        <w:rPr>
          <w:sz w:val="28"/>
          <w:szCs w:val="28"/>
        </w:rPr>
        <w:t>МиРославель</w:t>
      </w:r>
      <w:proofErr w:type="spellEnd"/>
      <w:r w:rsidRPr="00273EC8">
        <w:rPr>
          <w:sz w:val="28"/>
          <w:szCs w:val="28"/>
        </w:rPr>
        <w:t>-Агро», - ТОВ «</w:t>
      </w:r>
      <w:proofErr w:type="spellStart"/>
      <w:r w:rsidRPr="00273EC8">
        <w:rPr>
          <w:sz w:val="28"/>
          <w:szCs w:val="28"/>
        </w:rPr>
        <w:t>Агровест</w:t>
      </w:r>
      <w:proofErr w:type="spellEnd"/>
      <w:r w:rsidRPr="00273EC8">
        <w:rPr>
          <w:sz w:val="28"/>
          <w:szCs w:val="28"/>
        </w:rPr>
        <w:t xml:space="preserve">  Груп».</w:t>
      </w:r>
    </w:p>
    <w:p w14:paraId="712D86FA" w14:textId="77777777" w:rsidR="005021BA" w:rsidRPr="00273EC8" w:rsidRDefault="005021BA" w:rsidP="005021BA">
      <w:pPr>
        <w:rPr>
          <w:b/>
          <w:bCs/>
          <w:sz w:val="28"/>
          <w:szCs w:val="28"/>
        </w:rPr>
      </w:pPr>
      <w:r w:rsidRPr="00273EC8">
        <w:rPr>
          <w:b/>
          <w:bCs/>
          <w:sz w:val="28"/>
          <w:szCs w:val="28"/>
        </w:rPr>
        <w:t xml:space="preserve">        Посівні </w:t>
      </w:r>
      <w:proofErr w:type="spellStart"/>
      <w:r w:rsidRPr="00273EC8">
        <w:rPr>
          <w:b/>
          <w:bCs/>
          <w:sz w:val="28"/>
          <w:szCs w:val="28"/>
        </w:rPr>
        <w:t>полощі</w:t>
      </w:r>
      <w:proofErr w:type="spellEnd"/>
      <w:r w:rsidRPr="00273EC8">
        <w:rPr>
          <w:b/>
          <w:bCs/>
          <w:sz w:val="28"/>
          <w:szCs w:val="28"/>
        </w:rPr>
        <w:t xml:space="preserve"> </w:t>
      </w:r>
    </w:p>
    <w:p w14:paraId="7AA02AF0" w14:textId="77777777" w:rsidR="005021BA" w:rsidRPr="00273EC8" w:rsidRDefault="005021BA" w:rsidP="005021BA">
      <w:pPr>
        <w:jc w:val="both"/>
        <w:rPr>
          <w:color w:val="000000"/>
          <w:sz w:val="28"/>
          <w:szCs w:val="28"/>
        </w:rPr>
      </w:pPr>
      <w:r w:rsidRPr="00273EC8">
        <w:rPr>
          <w:sz w:val="28"/>
          <w:szCs w:val="28"/>
        </w:rPr>
        <w:t xml:space="preserve">        </w:t>
      </w:r>
      <w:r w:rsidRPr="00273EC8">
        <w:rPr>
          <w:color w:val="000000"/>
          <w:sz w:val="28"/>
          <w:szCs w:val="28"/>
        </w:rPr>
        <w:t xml:space="preserve">В </w:t>
      </w:r>
      <w:r w:rsidRPr="00273EC8">
        <w:rPr>
          <w:b/>
          <w:bCs/>
          <w:color w:val="000000"/>
          <w:sz w:val="28"/>
          <w:szCs w:val="28"/>
        </w:rPr>
        <w:t>галузі рослинництва</w:t>
      </w:r>
      <w:r w:rsidRPr="00273EC8">
        <w:rPr>
          <w:color w:val="000000"/>
          <w:sz w:val="28"/>
          <w:szCs w:val="28"/>
        </w:rPr>
        <w:t xml:space="preserve"> аграріями району  </w:t>
      </w:r>
      <w:r w:rsidRPr="00273EC8">
        <w:rPr>
          <w:color w:val="000000"/>
          <w:sz w:val="28"/>
          <w:szCs w:val="28"/>
          <w:shd w:val="clear" w:color="auto" w:fill="FFFFFF"/>
        </w:rPr>
        <w:t>під врожай 2022 року посіяно</w:t>
      </w:r>
      <w:r w:rsidRPr="00273EC8">
        <w:rPr>
          <w:b/>
          <w:bCs/>
          <w:color w:val="000000"/>
          <w:sz w:val="28"/>
          <w:szCs w:val="28"/>
          <w:shd w:val="clear" w:color="auto" w:fill="FFFFFF"/>
        </w:rPr>
        <w:t xml:space="preserve">  </w:t>
      </w:r>
      <w:r w:rsidRPr="00273EC8">
        <w:rPr>
          <w:color w:val="000000"/>
          <w:sz w:val="28"/>
          <w:szCs w:val="28"/>
          <w:shd w:val="clear" w:color="auto" w:fill="FFFFFF"/>
        </w:rPr>
        <w:t xml:space="preserve">зернових , технічних культур (соя, кукурудза, соняшник, ріпак)  та кормових  культур  на площі  84936 га, в тому числі: озима пшениця-21856 га, озимий ячмінь – 970 га, жито – 1444 га, кукурудзи на зерно -  12147 га, вівса - 3460 га,  соняшнику - 11249 га, сої - 20920 га,   </w:t>
      </w:r>
      <w:r w:rsidRPr="00273EC8">
        <w:rPr>
          <w:color w:val="000000"/>
          <w:sz w:val="28"/>
          <w:szCs w:val="28"/>
        </w:rPr>
        <w:t>пшениці ярої – 783 га,  ячменю  ярого - 632 га,   гречки – 1779 га,  суміші – 2700 га,  ріпак   - 6996 га.</w:t>
      </w:r>
    </w:p>
    <w:p w14:paraId="6D9C3EC8" w14:textId="77777777" w:rsidR="005021BA" w:rsidRPr="00273EC8" w:rsidRDefault="005021BA" w:rsidP="005021BA">
      <w:pPr>
        <w:rPr>
          <w:b/>
          <w:bCs/>
          <w:sz w:val="28"/>
          <w:szCs w:val="28"/>
        </w:rPr>
      </w:pPr>
      <w:r w:rsidRPr="00273EC8">
        <w:rPr>
          <w:b/>
          <w:bCs/>
          <w:sz w:val="28"/>
          <w:szCs w:val="28"/>
        </w:rPr>
        <w:t xml:space="preserve">       Зібрано в розрізі культур</w:t>
      </w:r>
    </w:p>
    <w:p w14:paraId="1E2179C4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Зернові та зернобобові культури зібрано  на площі 27563 га,  намолочено 97848 </w:t>
      </w:r>
      <w:proofErr w:type="spellStart"/>
      <w:r w:rsidRPr="00273EC8">
        <w:rPr>
          <w:sz w:val="28"/>
          <w:szCs w:val="28"/>
        </w:rPr>
        <w:t>тонн</w:t>
      </w:r>
      <w:proofErr w:type="spellEnd"/>
      <w:r w:rsidRPr="00273EC8">
        <w:rPr>
          <w:sz w:val="28"/>
          <w:szCs w:val="28"/>
        </w:rPr>
        <w:t xml:space="preserve"> зерна, середня урожайність становить 35,5 ц/га. У розрізі культур: озимий ячмінь – площа 681 га,  намолочено 2689 </w:t>
      </w:r>
      <w:proofErr w:type="spellStart"/>
      <w:r w:rsidRPr="00273EC8">
        <w:rPr>
          <w:sz w:val="28"/>
          <w:szCs w:val="28"/>
        </w:rPr>
        <w:t>тонн</w:t>
      </w:r>
      <w:proofErr w:type="spellEnd"/>
      <w:r w:rsidRPr="00273EC8">
        <w:rPr>
          <w:sz w:val="28"/>
          <w:szCs w:val="28"/>
        </w:rPr>
        <w:t xml:space="preserve">, середня урожайність становить 39,5 ц/га; озима пшениця – 21856 га при середній урожайності 37,0 ц/га, намолочено 80867 </w:t>
      </w:r>
      <w:proofErr w:type="spellStart"/>
      <w:r w:rsidRPr="00273EC8">
        <w:rPr>
          <w:sz w:val="28"/>
          <w:szCs w:val="28"/>
        </w:rPr>
        <w:t>тонн</w:t>
      </w:r>
      <w:proofErr w:type="spellEnd"/>
      <w:r w:rsidRPr="00273EC8">
        <w:rPr>
          <w:sz w:val="28"/>
          <w:szCs w:val="28"/>
        </w:rPr>
        <w:t xml:space="preserve"> зерна; жито озиме – 1132 га, намолочено 3973 </w:t>
      </w:r>
      <w:proofErr w:type="spellStart"/>
      <w:r w:rsidRPr="00273EC8">
        <w:rPr>
          <w:sz w:val="28"/>
          <w:szCs w:val="28"/>
        </w:rPr>
        <w:t>тонни</w:t>
      </w:r>
      <w:proofErr w:type="spellEnd"/>
      <w:r w:rsidRPr="00273EC8">
        <w:rPr>
          <w:sz w:val="28"/>
          <w:szCs w:val="28"/>
        </w:rPr>
        <w:t xml:space="preserve">, середня урожайність – 35,1 ц/га;  ячмінь ярий – 542 га, намолочено 1566 </w:t>
      </w:r>
      <w:proofErr w:type="spellStart"/>
      <w:r w:rsidRPr="00273EC8">
        <w:rPr>
          <w:sz w:val="28"/>
          <w:szCs w:val="28"/>
        </w:rPr>
        <w:t>тонн</w:t>
      </w:r>
      <w:proofErr w:type="spellEnd"/>
      <w:r w:rsidRPr="00273EC8">
        <w:rPr>
          <w:sz w:val="28"/>
          <w:szCs w:val="28"/>
        </w:rPr>
        <w:t xml:space="preserve"> зерна при середній урожайності 28,9 ц/га; пшениця яра – 225 га, намолочено 630 </w:t>
      </w:r>
      <w:proofErr w:type="spellStart"/>
      <w:r w:rsidRPr="00273EC8">
        <w:rPr>
          <w:sz w:val="28"/>
          <w:szCs w:val="28"/>
        </w:rPr>
        <w:t>тонн</w:t>
      </w:r>
      <w:proofErr w:type="spellEnd"/>
      <w:r w:rsidRPr="00273EC8">
        <w:rPr>
          <w:sz w:val="28"/>
          <w:szCs w:val="28"/>
        </w:rPr>
        <w:t xml:space="preserve">, середня урожайність складає 28,0 ц/га; овес – 3352 га при середній урожайності 28,7 ц/га, намолочено 9620 </w:t>
      </w:r>
      <w:proofErr w:type="spellStart"/>
      <w:r w:rsidRPr="00273EC8">
        <w:rPr>
          <w:sz w:val="28"/>
          <w:szCs w:val="28"/>
        </w:rPr>
        <w:t>тонн</w:t>
      </w:r>
      <w:proofErr w:type="spellEnd"/>
      <w:r w:rsidRPr="00273EC8">
        <w:rPr>
          <w:sz w:val="28"/>
          <w:szCs w:val="28"/>
        </w:rPr>
        <w:t xml:space="preserve">; гречка – 2242 га при середній урожайності 14 ц/га, намолочено 3138 </w:t>
      </w:r>
      <w:proofErr w:type="spellStart"/>
      <w:r w:rsidRPr="00273EC8">
        <w:rPr>
          <w:sz w:val="28"/>
          <w:szCs w:val="28"/>
        </w:rPr>
        <w:t>тонн</w:t>
      </w:r>
      <w:proofErr w:type="spellEnd"/>
      <w:r w:rsidRPr="00273EC8">
        <w:rPr>
          <w:sz w:val="28"/>
          <w:szCs w:val="28"/>
        </w:rPr>
        <w:t>; соняшник – 9431 га при урожайності 22,8 ц/га; соя – 18231 га при урожайності 18 ц/га; кукурудза – 6432 га при урожайності 92 ц/га.</w:t>
      </w:r>
    </w:p>
    <w:p w14:paraId="05491877" w14:textId="77777777" w:rsidR="005021BA" w:rsidRPr="00273EC8" w:rsidRDefault="005021BA" w:rsidP="005021BA">
      <w:pPr>
        <w:tabs>
          <w:tab w:val="left" w:pos="567"/>
        </w:tabs>
        <w:rPr>
          <w:b/>
          <w:bCs/>
          <w:sz w:val="28"/>
          <w:szCs w:val="28"/>
        </w:rPr>
      </w:pPr>
      <w:r w:rsidRPr="00273EC8">
        <w:rPr>
          <w:b/>
          <w:bCs/>
          <w:sz w:val="28"/>
          <w:szCs w:val="28"/>
        </w:rPr>
        <w:t xml:space="preserve">       Тваринництво</w:t>
      </w:r>
    </w:p>
    <w:p w14:paraId="603C52EA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color w:val="444444"/>
          <w:sz w:val="28"/>
          <w:szCs w:val="28"/>
        </w:rPr>
        <w:t xml:space="preserve">       </w:t>
      </w:r>
      <w:r w:rsidRPr="00273EC8">
        <w:rPr>
          <w:color w:val="000000"/>
          <w:sz w:val="28"/>
          <w:szCs w:val="28"/>
        </w:rPr>
        <w:t>У галузі тваринництва в районі  по всіх категоріях господарств утримується  11,7 тис голів великої рогатої худоби, що на 1,2 тис. голів менше  до аналогічного періоду минулого року, в тому числі  4,6 тис. голів корів, що на 1,0 тис. голів менше  до аналогічного періоду минулого року, 167 тис. голів птиці.</w:t>
      </w:r>
    </w:p>
    <w:p w14:paraId="0545B201" w14:textId="77777777" w:rsidR="005021BA" w:rsidRPr="00273EC8" w:rsidRDefault="005021BA" w:rsidP="005021BA">
      <w:pPr>
        <w:tabs>
          <w:tab w:val="left" w:pos="567"/>
        </w:tabs>
        <w:rPr>
          <w:b/>
          <w:bCs/>
          <w:sz w:val="28"/>
          <w:szCs w:val="28"/>
        </w:rPr>
      </w:pPr>
      <w:r w:rsidRPr="00273EC8">
        <w:rPr>
          <w:sz w:val="28"/>
          <w:szCs w:val="28"/>
        </w:rPr>
        <w:t xml:space="preserve">       </w:t>
      </w:r>
      <w:r w:rsidRPr="00273EC8">
        <w:rPr>
          <w:b/>
          <w:bCs/>
          <w:sz w:val="28"/>
          <w:szCs w:val="28"/>
        </w:rPr>
        <w:t xml:space="preserve">Посіяно озимих  культур  під урожай 2023року </w:t>
      </w:r>
    </w:p>
    <w:p w14:paraId="5DCA7F6B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За оперативною інформацією по сільськогосподарських підприємствах під урожай 2023 року  посіяно  13325 гектарів зернових культур, що на 8500 га </w:t>
      </w:r>
      <w:bookmarkStart w:id="6" w:name="_Hlk126663454"/>
      <w:r w:rsidRPr="00273EC8">
        <w:rPr>
          <w:sz w:val="28"/>
          <w:szCs w:val="28"/>
        </w:rPr>
        <w:t>менше до минулого року</w:t>
      </w:r>
      <w:bookmarkEnd w:id="6"/>
      <w:r w:rsidRPr="00273EC8">
        <w:rPr>
          <w:sz w:val="28"/>
          <w:szCs w:val="28"/>
        </w:rPr>
        <w:t>. В розрізі культур: 11235 гектарів озимої пшениці, 965 гектарів озимого ячменю та 1125 гектарів озимого жита. Крім того проведено посів 4120 гектарів озимого ріпаку, що на 2876 га менше до минулого року</w:t>
      </w:r>
    </w:p>
    <w:p w14:paraId="3C870868" w14:textId="77777777" w:rsidR="005021BA" w:rsidRPr="00273EC8" w:rsidRDefault="005021BA" w:rsidP="005021BA">
      <w:pPr>
        <w:tabs>
          <w:tab w:val="left" w:pos="567"/>
        </w:tabs>
        <w:rPr>
          <w:b/>
          <w:iCs/>
          <w:sz w:val="28"/>
          <w:szCs w:val="28"/>
        </w:rPr>
      </w:pPr>
      <w:r w:rsidRPr="00273EC8">
        <w:rPr>
          <w:b/>
          <w:iCs/>
          <w:sz w:val="28"/>
          <w:szCs w:val="28"/>
        </w:rPr>
        <w:t xml:space="preserve">       В сфері ринку праці</w:t>
      </w:r>
    </w:p>
    <w:p w14:paraId="235A6423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Всього в продовж 2022 мали статус безробітного та отримали допомогу по безробіттю 4539 осіб, </w:t>
      </w:r>
      <w:bookmarkStart w:id="7" w:name="_Hlk126566210"/>
      <w:r w:rsidRPr="00273EC8">
        <w:rPr>
          <w:sz w:val="28"/>
          <w:szCs w:val="28"/>
        </w:rPr>
        <w:t xml:space="preserve">що складає  81,2 % до 2021 року  </w:t>
      </w:r>
      <w:bookmarkEnd w:id="7"/>
      <w:r w:rsidRPr="00273EC8">
        <w:rPr>
          <w:sz w:val="28"/>
          <w:szCs w:val="28"/>
        </w:rPr>
        <w:t>(у 2021 році 5588 осіб).</w:t>
      </w:r>
    </w:p>
    <w:p w14:paraId="5DC04AD6" w14:textId="77777777" w:rsidR="005021BA" w:rsidRPr="00273EC8" w:rsidRDefault="005021BA" w:rsidP="005021BA">
      <w:pPr>
        <w:tabs>
          <w:tab w:val="left" w:pos="567"/>
        </w:tabs>
        <w:jc w:val="both"/>
        <w:rPr>
          <w:b/>
          <w:sz w:val="28"/>
          <w:szCs w:val="28"/>
        </w:rPr>
      </w:pPr>
      <w:r w:rsidRPr="00273EC8">
        <w:rPr>
          <w:b/>
          <w:sz w:val="28"/>
          <w:szCs w:val="28"/>
        </w:rPr>
        <w:t xml:space="preserve">      </w:t>
      </w:r>
      <w:r w:rsidRPr="00273EC8">
        <w:rPr>
          <w:bCs/>
          <w:sz w:val="28"/>
          <w:szCs w:val="28"/>
        </w:rPr>
        <w:t xml:space="preserve"> У 2022 році зареєстровано 2301 вакансії, </w:t>
      </w:r>
      <w:bookmarkStart w:id="8" w:name="_Hlk126566446"/>
      <w:r w:rsidRPr="00273EC8">
        <w:rPr>
          <w:bCs/>
          <w:sz w:val="28"/>
          <w:szCs w:val="28"/>
        </w:rPr>
        <w:t>що</w:t>
      </w:r>
      <w:r w:rsidRPr="00273EC8">
        <w:rPr>
          <w:sz w:val="28"/>
          <w:szCs w:val="28"/>
        </w:rPr>
        <w:t xml:space="preserve"> складає  69,6 % до 2021 року  </w:t>
      </w:r>
      <w:r w:rsidRPr="00273EC8">
        <w:rPr>
          <w:bCs/>
          <w:sz w:val="28"/>
          <w:szCs w:val="28"/>
        </w:rPr>
        <w:t xml:space="preserve">   </w:t>
      </w:r>
      <w:bookmarkEnd w:id="8"/>
      <w:r w:rsidRPr="00273EC8">
        <w:rPr>
          <w:bCs/>
          <w:sz w:val="28"/>
          <w:szCs w:val="28"/>
        </w:rPr>
        <w:t>(3305 - у 2021 році).</w:t>
      </w:r>
      <w:r w:rsidRPr="00273EC8">
        <w:rPr>
          <w:b/>
          <w:sz w:val="28"/>
          <w:szCs w:val="28"/>
        </w:rPr>
        <w:t xml:space="preserve">             </w:t>
      </w:r>
    </w:p>
    <w:p w14:paraId="3503CF75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b/>
          <w:sz w:val="28"/>
          <w:szCs w:val="28"/>
        </w:rPr>
        <w:lastRenderedPageBreak/>
        <w:t xml:space="preserve">       </w:t>
      </w:r>
      <w:r w:rsidRPr="00273EC8">
        <w:rPr>
          <w:sz w:val="28"/>
          <w:szCs w:val="28"/>
        </w:rPr>
        <w:t xml:space="preserve">Кількість працевлаштованих у 2022 році становить  1694 особи, </w:t>
      </w:r>
      <w:r w:rsidRPr="00273EC8">
        <w:rPr>
          <w:bCs/>
          <w:sz w:val="28"/>
          <w:szCs w:val="28"/>
        </w:rPr>
        <w:t>що</w:t>
      </w:r>
      <w:r w:rsidRPr="00273EC8">
        <w:rPr>
          <w:sz w:val="28"/>
          <w:szCs w:val="28"/>
        </w:rPr>
        <w:t xml:space="preserve"> складає 86,7 % до 2021 року (1953 особи у 2021 році). </w:t>
      </w:r>
    </w:p>
    <w:p w14:paraId="6E3A7B91" w14:textId="77777777" w:rsidR="005021BA" w:rsidRPr="00273EC8" w:rsidRDefault="005021BA" w:rsidP="005021BA">
      <w:pPr>
        <w:rPr>
          <w:sz w:val="28"/>
          <w:szCs w:val="28"/>
        </w:rPr>
      </w:pPr>
      <w:r w:rsidRPr="00273EC8">
        <w:rPr>
          <w:sz w:val="28"/>
          <w:szCs w:val="28"/>
        </w:rPr>
        <w:t xml:space="preserve">Найбільше надано вакансій підприємствами району: </w:t>
      </w:r>
    </w:p>
    <w:p w14:paraId="54A34F21" w14:textId="77777777" w:rsidR="005021BA" w:rsidRPr="00273EC8" w:rsidRDefault="005021BA" w:rsidP="005021BA">
      <w:pPr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1. ТОВ «Декор Україна» - 71, гуманітарний відділ міської ради  - 29. </w:t>
      </w:r>
    </w:p>
    <w:p w14:paraId="181F7CBB" w14:textId="77777777" w:rsidR="005021BA" w:rsidRPr="00273EC8" w:rsidRDefault="005021BA" w:rsidP="005021BA">
      <w:pPr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(Баранівська територіальна громада).                                                                          </w:t>
      </w:r>
    </w:p>
    <w:p w14:paraId="0B00E050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2. Центр поштового зв’язку-53, ТОВ «</w:t>
      </w:r>
      <w:proofErr w:type="spellStart"/>
      <w:r w:rsidRPr="00273EC8">
        <w:rPr>
          <w:sz w:val="28"/>
          <w:szCs w:val="28"/>
        </w:rPr>
        <w:t>Церсаніт</w:t>
      </w:r>
      <w:proofErr w:type="spellEnd"/>
      <w:r w:rsidRPr="00273EC8">
        <w:rPr>
          <w:sz w:val="28"/>
          <w:szCs w:val="28"/>
        </w:rPr>
        <w:t xml:space="preserve">-Інвест» - 39 (Звягельська територіальна громада).  </w:t>
      </w:r>
    </w:p>
    <w:p w14:paraId="3BAA1064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3.  ПСП     «Восток» - 48,     ТОВ    «</w:t>
      </w:r>
      <w:proofErr w:type="spellStart"/>
      <w:r w:rsidRPr="00273EC8">
        <w:rPr>
          <w:sz w:val="28"/>
          <w:szCs w:val="28"/>
        </w:rPr>
        <w:t>Рихальський</w:t>
      </w:r>
      <w:proofErr w:type="spellEnd"/>
      <w:r w:rsidRPr="00273EC8">
        <w:rPr>
          <w:sz w:val="28"/>
          <w:szCs w:val="28"/>
        </w:rPr>
        <w:t xml:space="preserve"> ЗСМ»    - 14     (Ємільчинська      </w:t>
      </w:r>
    </w:p>
    <w:p w14:paraId="06439011" w14:textId="77777777" w:rsidR="005021BA" w:rsidRPr="00273EC8" w:rsidRDefault="005021BA" w:rsidP="005021BA">
      <w:pPr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територіальна  громада).  </w:t>
      </w:r>
    </w:p>
    <w:p w14:paraId="68FA9771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</w:p>
    <w:p w14:paraId="7090BDE3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</w:p>
    <w:p w14:paraId="7BD1A69F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noProof/>
          <w:sz w:val="28"/>
          <w:szCs w:val="28"/>
        </w:rPr>
        <w:drawing>
          <wp:inline distT="0" distB="0" distL="0" distR="0" wp14:anchorId="13A4DECA" wp14:editId="3703B38A">
            <wp:extent cx="5772150" cy="21336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73EC8">
        <w:rPr>
          <w:sz w:val="28"/>
          <w:szCs w:val="28"/>
        </w:rPr>
        <w:t xml:space="preserve"> </w:t>
      </w:r>
    </w:p>
    <w:p w14:paraId="34F21707" w14:textId="77777777" w:rsidR="005021BA" w:rsidRPr="00273EC8" w:rsidRDefault="005021BA" w:rsidP="005021BA">
      <w:pPr>
        <w:tabs>
          <w:tab w:val="left" w:pos="567"/>
        </w:tabs>
        <w:rPr>
          <w:b/>
          <w:iCs/>
          <w:sz w:val="28"/>
          <w:szCs w:val="28"/>
        </w:rPr>
      </w:pPr>
    </w:p>
    <w:p w14:paraId="466A255C" w14:textId="5291A596" w:rsidR="005021BA" w:rsidRPr="00273EC8" w:rsidRDefault="005021BA" w:rsidP="005021BA">
      <w:pPr>
        <w:tabs>
          <w:tab w:val="left" w:pos="567"/>
        </w:tabs>
        <w:rPr>
          <w:b/>
          <w:iCs/>
          <w:sz w:val="28"/>
          <w:szCs w:val="28"/>
        </w:rPr>
      </w:pPr>
    </w:p>
    <w:p w14:paraId="388A5CF0" w14:textId="77777777" w:rsidR="005021BA" w:rsidRPr="00273EC8" w:rsidRDefault="005021BA" w:rsidP="005021BA">
      <w:pPr>
        <w:tabs>
          <w:tab w:val="left" w:pos="567"/>
        </w:tabs>
        <w:rPr>
          <w:b/>
          <w:iCs/>
          <w:sz w:val="28"/>
          <w:szCs w:val="28"/>
        </w:rPr>
      </w:pPr>
    </w:p>
    <w:p w14:paraId="71280EA3" w14:textId="77777777" w:rsidR="005021BA" w:rsidRPr="00273EC8" w:rsidRDefault="005021BA" w:rsidP="005021BA">
      <w:pPr>
        <w:tabs>
          <w:tab w:val="left" w:pos="567"/>
        </w:tabs>
        <w:rPr>
          <w:b/>
          <w:iCs/>
          <w:sz w:val="28"/>
          <w:szCs w:val="28"/>
        </w:rPr>
      </w:pPr>
    </w:p>
    <w:p w14:paraId="28C689B6" w14:textId="77777777" w:rsidR="005021BA" w:rsidRPr="00273EC8" w:rsidRDefault="005021BA" w:rsidP="005021BA">
      <w:pPr>
        <w:tabs>
          <w:tab w:val="left" w:pos="567"/>
        </w:tabs>
        <w:rPr>
          <w:b/>
          <w:iCs/>
          <w:sz w:val="28"/>
          <w:szCs w:val="28"/>
          <w:u w:val="single"/>
        </w:rPr>
      </w:pPr>
      <w:r w:rsidRPr="00273EC8">
        <w:rPr>
          <w:b/>
          <w:iCs/>
          <w:sz w:val="28"/>
          <w:szCs w:val="28"/>
          <w:u w:val="single"/>
        </w:rPr>
        <w:t>Освіта</w:t>
      </w:r>
    </w:p>
    <w:p w14:paraId="639DE6C1" w14:textId="77777777" w:rsidR="005021BA" w:rsidRPr="00273EC8" w:rsidRDefault="005021BA" w:rsidP="005021BA">
      <w:pPr>
        <w:ind w:firstLine="708"/>
        <w:jc w:val="both"/>
        <w:rPr>
          <w:color w:val="000000"/>
          <w:sz w:val="28"/>
          <w:szCs w:val="28"/>
        </w:rPr>
      </w:pPr>
      <w:r w:rsidRPr="00273EC8">
        <w:rPr>
          <w:color w:val="000000"/>
          <w:sz w:val="28"/>
          <w:szCs w:val="28"/>
        </w:rPr>
        <w:t xml:space="preserve"> </w:t>
      </w:r>
      <w:r w:rsidRPr="00273EC8">
        <w:rPr>
          <w:rFonts w:eastAsia="TimesNewRomanPS-BoldMT"/>
          <w:sz w:val="28"/>
          <w:szCs w:val="28"/>
        </w:rPr>
        <w:t xml:space="preserve">В 2022/2023 навчальному році в районі функціонує </w:t>
      </w:r>
      <w:r w:rsidRPr="00273EC8">
        <w:rPr>
          <w:sz w:val="28"/>
          <w:szCs w:val="28"/>
        </w:rPr>
        <w:t xml:space="preserve"> 85 закладів загальної середньої освіти (без філій), а саме</w:t>
      </w:r>
      <w:r w:rsidRPr="00273EC8">
        <w:rPr>
          <w:color w:val="000000"/>
          <w:sz w:val="28"/>
          <w:szCs w:val="28"/>
        </w:rPr>
        <w:t>:</w:t>
      </w:r>
    </w:p>
    <w:p w14:paraId="3BAA5993" w14:textId="77777777" w:rsidR="005021BA" w:rsidRPr="00273EC8" w:rsidRDefault="005021BA" w:rsidP="005021BA">
      <w:pPr>
        <w:ind w:firstLine="708"/>
        <w:jc w:val="both"/>
        <w:rPr>
          <w:color w:val="000000"/>
          <w:sz w:val="28"/>
          <w:szCs w:val="28"/>
        </w:rPr>
      </w:pPr>
    </w:p>
    <w:p w14:paraId="113B1F9E" w14:textId="77777777" w:rsidR="005021BA" w:rsidRPr="00273EC8" w:rsidRDefault="005021BA" w:rsidP="005021BA">
      <w:pPr>
        <w:jc w:val="both"/>
        <w:rPr>
          <w:color w:val="000000"/>
          <w:sz w:val="28"/>
          <w:szCs w:val="28"/>
        </w:rPr>
      </w:pPr>
      <w:r w:rsidRPr="00273EC8">
        <w:rPr>
          <w:noProof/>
          <w:color w:val="000000"/>
          <w:sz w:val="28"/>
          <w:szCs w:val="28"/>
        </w:rPr>
        <w:drawing>
          <wp:inline distT="0" distB="0" distL="0" distR="0" wp14:anchorId="240B8BE7" wp14:editId="6A02DD6E">
            <wp:extent cx="5619750" cy="2257425"/>
            <wp:effectExtent l="0" t="0" r="0" b="9525"/>
            <wp:docPr id="17" name="Діагра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273EC8">
        <w:rPr>
          <w:color w:val="000000"/>
          <w:sz w:val="28"/>
          <w:szCs w:val="28"/>
        </w:rPr>
        <w:br/>
      </w:r>
      <w:r w:rsidRPr="00273EC8">
        <w:rPr>
          <w:color w:val="000000"/>
          <w:sz w:val="28"/>
          <w:szCs w:val="28"/>
        </w:rPr>
        <w:tab/>
        <w:t>Із них : 49 працюють очно, кількість учнів, які навчаються очно становить- 7564; 2 працюють дистанційно, кількість учнів, які навчаються дистанційно – 74; 34 працюють у змішаному форматі, кількість учнів становить – 11227.</w:t>
      </w:r>
    </w:p>
    <w:p w14:paraId="2438A141" w14:textId="77777777" w:rsidR="005021BA" w:rsidRPr="00273EC8" w:rsidRDefault="005021BA" w:rsidP="005021BA">
      <w:pPr>
        <w:ind w:firstLine="708"/>
        <w:jc w:val="both"/>
        <w:rPr>
          <w:color w:val="000000"/>
          <w:sz w:val="28"/>
          <w:szCs w:val="28"/>
        </w:rPr>
      </w:pPr>
      <w:r w:rsidRPr="00273EC8">
        <w:rPr>
          <w:color w:val="000000"/>
          <w:sz w:val="28"/>
          <w:szCs w:val="28"/>
        </w:rPr>
        <w:t xml:space="preserve">В порівнянні з 2021/2022 </w:t>
      </w:r>
      <w:proofErr w:type="spellStart"/>
      <w:r w:rsidRPr="00273EC8">
        <w:rPr>
          <w:color w:val="000000"/>
          <w:sz w:val="28"/>
          <w:szCs w:val="28"/>
        </w:rPr>
        <w:t>н.р</w:t>
      </w:r>
      <w:proofErr w:type="spellEnd"/>
      <w:r w:rsidRPr="00273EC8">
        <w:rPr>
          <w:color w:val="000000"/>
          <w:sz w:val="28"/>
          <w:szCs w:val="28"/>
        </w:rPr>
        <w:t xml:space="preserve">. кількість закладів зменшилася на 11,45%            ( 2021/2022 </w:t>
      </w:r>
      <w:proofErr w:type="spellStart"/>
      <w:r w:rsidRPr="00273EC8">
        <w:rPr>
          <w:color w:val="000000"/>
          <w:sz w:val="28"/>
          <w:szCs w:val="28"/>
        </w:rPr>
        <w:t>н.р</w:t>
      </w:r>
      <w:proofErr w:type="spellEnd"/>
      <w:r w:rsidRPr="00273EC8">
        <w:rPr>
          <w:color w:val="000000"/>
          <w:sz w:val="28"/>
          <w:szCs w:val="28"/>
        </w:rPr>
        <w:t>. – 96 ЗЗСО).</w:t>
      </w:r>
    </w:p>
    <w:p w14:paraId="2B8EFE93" w14:textId="77777777" w:rsidR="005021BA" w:rsidRPr="00273EC8" w:rsidRDefault="005021BA" w:rsidP="005021BA">
      <w:pPr>
        <w:jc w:val="both"/>
        <w:rPr>
          <w:color w:val="000000"/>
          <w:sz w:val="28"/>
          <w:szCs w:val="28"/>
        </w:rPr>
      </w:pPr>
      <w:r w:rsidRPr="00273EC8">
        <w:rPr>
          <w:color w:val="000000"/>
          <w:sz w:val="28"/>
          <w:szCs w:val="28"/>
        </w:rPr>
        <w:lastRenderedPageBreak/>
        <w:t xml:space="preserve">        Особлива увага закладів освіти приділяється створенню умов  для дітей з особливими освітніми потребами у закладах дошкільної, загальної середньої освіти, реалізації державної політики щодо забезпечення права дітей, які потребують корекції фізичного та (або) розумового розвитку, на здобуття якісної освіти. Кількість дітей, які навчаються на інклюзії у ЗЗСО становить 207 чоловік. У закладах освіти для всіх дітей з особливими освітніми потребами створені належні умови для проведення інклюзивного навчання - призначені асистенти вчителів, облаштовані ресурсні кімнати. </w:t>
      </w:r>
    </w:p>
    <w:p w14:paraId="27C91D94" w14:textId="77777777" w:rsidR="005021BA" w:rsidRPr="00273EC8" w:rsidRDefault="005021BA" w:rsidP="005021BA">
      <w:pPr>
        <w:jc w:val="both"/>
        <w:rPr>
          <w:color w:val="000000"/>
          <w:sz w:val="28"/>
          <w:szCs w:val="28"/>
        </w:rPr>
      </w:pPr>
      <w:r w:rsidRPr="00273EC8">
        <w:rPr>
          <w:color w:val="000000"/>
          <w:sz w:val="28"/>
          <w:szCs w:val="28"/>
        </w:rPr>
        <w:t xml:space="preserve">        Заклади освіти забезпечені необхідними навчально-методичними і наочно-дидактичними посібниками, корекційними та індивідуальними технічними засобами навчання.</w:t>
      </w:r>
    </w:p>
    <w:p w14:paraId="698077E0" w14:textId="77777777" w:rsidR="005021BA" w:rsidRPr="00273EC8" w:rsidRDefault="005021BA" w:rsidP="005021B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273EC8">
        <w:rPr>
          <w:color w:val="000000"/>
          <w:sz w:val="28"/>
          <w:szCs w:val="28"/>
        </w:rPr>
        <w:t>У всіх закладах освіти організований безперешкодний доступ до приміщень.</w:t>
      </w:r>
    </w:p>
    <w:p w14:paraId="0083C6AA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273EC8">
        <w:rPr>
          <w:color w:val="000000"/>
          <w:sz w:val="28"/>
          <w:szCs w:val="28"/>
        </w:rPr>
        <w:tab/>
        <w:t xml:space="preserve">Упродовж начального року змінилась мережа дитячих садків, тепер у районі функціонує 101 дошкільний навчальний заклад ( в порівнянні з 2021/2022 </w:t>
      </w:r>
      <w:proofErr w:type="spellStart"/>
      <w:r w:rsidRPr="00273EC8">
        <w:rPr>
          <w:color w:val="000000"/>
          <w:sz w:val="28"/>
          <w:szCs w:val="28"/>
        </w:rPr>
        <w:t>н.р</w:t>
      </w:r>
      <w:proofErr w:type="spellEnd"/>
      <w:r w:rsidRPr="00273EC8">
        <w:rPr>
          <w:color w:val="000000"/>
          <w:sz w:val="28"/>
          <w:szCs w:val="28"/>
        </w:rPr>
        <w:t>. -105).</w:t>
      </w:r>
    </w:p>
    <w:p w14:paraId="5A6905A7" w14:textId="77777777" w:rsidR="005021BA" w:rsidRPr="00273EC8" w:rsidRDefault="005021BA" w:rsidP="005021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73EC8">
        <w:rPr>
          <w:noProof/>
          <w:color w:val="000000"/>
          <w:sz w:val="28"/>
          <w:szCs w:val="28"/>
        </w:rPr>
        <w:drawing>
          <wp:inline distT="0" distB="0" distL="0" distR="0" wp14:anchorId="0AF5ADDD" wp14:editId="0E1BB627">
            <wp:extent cx="6048375" cy="2047875"/>
            <wp:effectExtent l="0" t="0" r="9525" b="9525"/>
            <wp:docPr id="16" name="Ді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73EC8">
        <w:rPr>
          <w:sz w:val="28"/>
          <w:szCs w:val="28"/>
        </w:rPr>
        <w:tab/>
        <w:t xml:space="preserve"> Дошкільною освітою в районі охоплено 4276 дитини, що на 6,86 % менше в порівнянні 3 2021/2022 </w:t>
      </w:r>
      <w:proofErr w:type="spellStart"/>
      <w:r w:rsidRPr="00273EC8">
        <w:rPr>
          <w:sz w:val="28"/>
          <w:szCs w:val="28"/>
        </w:rPr>
        <w:t>н.р</w:t>
      </w:r>
      <w:proofErr w:type="spellEnd"/>
      <w:r w:rsidRPr="00273EC8">
        <w:rPr>
          <w:sz w:val="28"/>
          <w:szCs w:val="28"/>
        </w:rPr>
        <w:t xml:space="preserve">. - </w:t>
      </w:r>
      <w:r w:rsidRPr="00273EC8">
        <w:rPr>
          <w:rFonts w:eastAsia="TimesNewRomanPS-BoldMT"/>
          <w:sz w:val="28"/>
          <w:szCs w:val="28"/>
        </w:rPr>
        <w:t>4591 дитина.</w:t>
      </w:r>
    </w:p>
    <w:p w14:paraId="0A0AC3B8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Особливу увагу також приділяють питанню харчування в закладах освіти. Забезпечено безкоштовне харчування  дітей – 8374 дитини. Із них ЗЗСО-7309 учнів, ЗДО- 1065 вихованців.</w:t>
      </w:r>
    </w:p>
    <w:p w14:paraId="5A0325EF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Також на території району функціонує 5 позашкільних навчальних закладів (Ємільчине БДТ, Баранівка БДТ, м. Звягель -Дитячо-юнацький клуб фізичної підготовки, Палац дітей та молоді міста Звягель, Центр науково-технічної творчості учнівської молоді) та 4 </w:t>
      </w:r>
      <w:proofErr w:type="spellStart"/>
      <w:r w:rsidRPr="00273EC8">
        <w:rPr>
          <w:sz w:val="28"/>
          <w:szCs w:val="28"/>
        </w:rPr>
        <w:t>інклюзивно</w:t>
      </w:r>
      <w:proofErr w:type="spellEnd"/>
      <w:r w:rsidRPr="00273EC8">
        <w:rPr>
          <w:sz w:val="28"/>
          <w:szCs w:val="28"/>
        </w:rPr>
        <w:t>-ресурсних центрів (Городниця,  Довбиш, Ємільчине, м. Звягель).</w:t>
      </w:r>
    </w:p>
    <w:p w14:paraId="45D33597" w14:textId="77777777" w:rsidR="005021BA" w:rsidRPr="00273EC8" w:rsidRDefault="005021BA" w:rsidP="005021BA">
      <w:pPr>
        <w:rPr>
          <w:b/>
          <w:iCs/>
          <w:sz w:val="28"/>
          <w:szCs w:val="28"/>
        </w:rPr>
      </w:pPr>
    </w:p>
    <w:p w14:paraId="52BBADAF" w14:textId="77777777" w:rsidR="005021BA" w:rsidRPr="00273EC8" w:rsidRDefault="005021BA" w:rsidP="005021BA">
      <w:pPr>
        <w:jc w:val="both"/>
        <w:rPr>
          <w:sz w:val="28"/>
          <w:szCs w:val="28"/>
        </w:rPr>
      </w:pPr>
      <w:r w:rsidRPr="00273EC8">
        <w:rPr>
          <w:b/>
          <w:sz w:val="28"/>
          <w:szCs w:val="28"/>
        </w:rPr>
        <w:t xml:space="preserve">         В сфері охорони здоров’я з</w:t>
      </w:r>
      <w:r w:rsidRPr="00273EC8">
        <w:rPr>
          <w:sz w:val="28"/>
          <w:szCs w:val="28"/>
        </w:rPr>
        <w:t>начна увага  приділена</w:t>
      </w:r>
      <w:r w:rsidRPr="00273EC8">
        <w:rPr>
          <w:b/>
          <w:sz w:val="28"/>
          <w:szCs w:val="28"/>
        </w:rPr>
        <w:t xml:space="preserve"> </w:t>
      </w:r>
      <w:r w:rsidRPr="00273EC8">
        <w:rPr>
          <w:sz w:val="28"/>
          <w:szCs w:val="28"/>
        </w:rPr>
        <w:t>покращенню стану</w:t>
      </w:r>
      <w:r w:rsidRPr="00273EC8">
        <w:rPr>
          <w:b/>
          <w:sz w:val="28"/>
          <w:szCs w:val="28"/>
        </w:rPr>
        <w:t xml:space="preserve"> </w:t>
      </w:r>
      <w:r w:rsidRPr="00273EC8">
        <w:rPr>
          <w:sz w:val="28"/>
          <w:szCs w:val="28"/>
        </w:rPr>
        <w:t>приміщень  закладів охорони здоров’я та забезпеченню необхідним обладнанням.</w:t>
      </w:r>
    </w:p>
    <w:p w14:paraId="0502E586" w14:textId="77777777" w:rsidR="005021BA" w:rsidRPr="00273EC8" w:rsidRDefault="005021BA" w:rsidP="005021BA">
      <w:pPr>
        <w:tabs>
          <w:tab w:val="left" w:pos="2655"/>
        </w:tabs>
        <w:rPr>
          <w:b/>
          <w:sz w:val="28"/>
          <w:szCs w:val="28"/>
        </w:rPr>
      </w:pPr>
      <w:r w:rsidRPr="00273EC8">
        <w:rPr>
          <w:b/>
          <w:iCs/>
          <w:sz w:val="28"/>
          <w:szCs w:val="28"/>
        </w:rPr>
        <w:tab/>
      </w:r>
    </w:p>
    <w:p w14:paraId="5B2BFC14" w14:textId="77777777" w:rsidR="005021BA" w:rsidRPr="00273EC8" w:rsidRDefault="005021BA" w:rsidP="005021BA">
      <w:pPr>
        <w:tabs>
          <w:tab w:val="left" w:pos="2655"/>
        </w:tabs>
        <w:rPr>
          <w:b/>
          <w:sz w:val="28"/>
          <w:szCs w:val="28"/>
        </w:rPr>
      </w:pPr>
      <w:r w:rsidRPr="00273EC8">
        <w:rPr>
          <w:b/>
          <w:noProof/>
          <w:sz w:val="28"/>
          <w:szCs w:val="28"/>
        </w:rPr>
        <w:lastRenderedPageBreak/>
        <w:drawing>
          <wp:inline distT="0" distB="0" distL="0" distR="0" wp14:anchorId="5827B8DA" wp14:editId="06EB765D">
            <wp:extent cx="6353175" cy="2000250"/>
            <wp:effectExtent l="0" t="0" r="9525" b="0"/>
            <wp:docPr id="15" name="Ді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726029" w14:textId="77777777" w:rsidR="005021BA" w:rsidRPr="00273EC8" w:rsidRDefault="005021BA" w:rsidP="005021BA">
      <w:pPr>
        <w:tabs>
          <w:tab w:val="left" w:pos="2655"/>
        </w:tabs>
        <w:rPr>
          <w:b/>
          <w:iCs/>
          <w:sz w:val="28"/>
          <w:szCs w:val="28"/>
        </w:rPr>
      </w:pPr>
    </w:p>
    <w:p w14:paraId="5BDFD704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Всі заклади охорони здоров’я первинного і вторинного рівня перейшли на баланс територіальних громад. У зв’язку із зміною меж територіальних громад затверджена оновлена структура закладів первинного рівня надання медичної допомоги. </w:t>
      </w:r>
    </w:p>
    <w:p w14:paraId="3548914A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В 2021 році на території Звягельського району функціонувало і функціонує юридичних медичних закладів первинний і вторинний рівні надання медичної допомоги - 3 лікарні; 6 – ЦПМСД, 2 - АЗПСМ. В 2022 році створено КНП «</w:t>
      </w:r>
      <w:proofErr w:type="spellStart"/>
      <w:r w:rsidRPr="00273EC8">
        <w:rPr>
          <w:sz w:val="28"/>
          <w:szCs w:val="28"/>
        </w:rPr>
        <w:t>Гульська</w:t>
      </w:r>
      <w:proofErr w:type="spellEnd"/>
      <w:r w:rsidRPr="00273EC8">
        <w:rPr>
          <w:sz w:val="28"/>
          <w:szCs w:val="28"/>
        </w:rPr>
        <w:t xml:space="preserve"> АЗПСМ» </w:t>
      </w:r>
      <w:proofErr w:type="spellStart"/>
      <w:r w:rsidRPr="00273EC8">
        <w:rPr>
          <w:sz w:val="28"/>
          <w:szCs w:val="28"/>
        </w:rPr>
        <w:t>Стриївської</w:t>
      </w:r>
      <w:proofErr w:type="spellEnd"/>
      <w:r w:rsidRPr="00273EC8">
        <w:rPr>
          <w:sz w:val="28"/>
          <w:szCs w:val="28"/>
        </w:rPr>
        <w:t xml:space="preserve"> сільської ради, отже амбулаторій загальної практики сімейної медицини становить - 3. У зв’язку з цим  в </w:t>
      </w:r>
      <w:proofErr w:type="spellStart"/>
      <w:r w:rsidRPr="00273EC8">
        <w:rPr>
          <w:sz w:val="28"/>
          <w:szCs w:val="28"/>
        </w:rPr>
        <w:t>Чижівській</w:t>
      </w:r>
      <w:proofErr w:type="spellEnd"/>
      <w:r w:rsidRPr="00273EC8">
        <w:rPr>
          <w:sz w:val="28"/>
          <w:szCs w:val="28"/>
        </w:rPr>
        <w:t xml:space="preserve"> громаді амбулаторій загальної практики сімейної медицини стало -11. </w:t>
      </w:r>
    </w:p>
    <w:p w14:paraId="3BFA9FBF" w14:textId="77777777" w:rsidR="005021BA" w:rsidRPr="00273EC8" w:rsidRDefault="005021BA" w:rsidP="005021BA">
      <w:pPr>
        <w:tabs>
          <w:tab w:val="left" w:pos="567"/>
        </w:tabs>
        <w:rPr>
          <w:b/>
          <w:iCs/>
          <w:sz w:val="28"/>
          <w:szCs w:val="28"/>
        </w:rPr>
      </w:pPr>
      <w:r w:rsidRPr="00273EC8">
        <w:rPr>
          <w:b/>
          <w:iCs/>
          <w:noProof/>
          <w:sz w:val="28"/>
          <w:szCs w:val="28"/>
        </w:rPr>
        <w:drawing>
          <wp:inline distT="0" distB="0" distL="0" distR="0" wp14:anchorId="1228883B" wp14:editId="37FF0CFC">
            <wp:extent cx="6343650" cy="1866900"/>
            <wp:effectExtent l="0" t="0" r="0" b="0"/>
            <wp:docPr id="22" name="Ді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CF3064" w14:textId="77777777" w:rsidR="005021BA" w:rsidRPr="00273EC8" w:rsidRDefault="005021BA" w:rsidP="005021BA">
      <w:pPr>
        <w:tabs>
          <w:tab w:val="left" w:pos="567"/>
        </w:tabs>
        <w:rPr>
          <w:b/>
          <w:iCs/>
          <w:sz w:val="28"/>
          <w:szCs w:val="28"/>
        </w:rPr>
      </w:pPr>
    </w:p>
    <w:p w14:paraId="5F80232D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 В Ємільчинській громаді реорганізовано амбулаторії загальної практики сімейної медицини: с. Серби,  с. Мала </w:t>
      </w:r>
      <w:proofErr w:type="spellStart"/>
      <w:r w:rsidRPr="00273EC8">
        <w:rPr>
          <w:sz w:val="28"/>
          <w:szCs w:val="28"/>
        </w:rPr>
        <w:t>Глумча</w:t>
      </w:r>
      <w:proofErr w:type="spellEnd"/>
      <w:r w:rsidRPr="00273EC8">
        <w:rPr>
          <w:sz w:val="28"/>
          <w:szCs w:val="28"/>
        </w:rPr>
        <w:t xml:space="preserve">, с. Миколаївка в фельдшерські амбулаторні пункти, а фельдшерські пункти с. </w:t>
      </w:r>
      <w:proofErr w:type="spellStart"/>
      <w:r w:rsidRPr="00273EC8">
        <w:rPr>
          <w:sz w:val="28"/>
          <w:szCs w:val="28"/>
        </w:rPr>
        <w:t>Кривотин</w:t>
      </w:r>
      <w:proofErr w:type="spellEnd"/>
      <w:r w:rsidRPr="00273EC8">
        <w:rPr>
          <w:sz w:val="28"/>
          <w:szCs w:val="28"/>
        </w:rPr>
        <w:t xml:space="preserve">, с. Королівка, с. Нараївка, с. </w:t>
      </w:r>
      <w:proofErr w:type="spellStart"/>
      <w:r w:rsidRPr="00273EC8">
        <w:rPr>
          <w:sz w:val="28"/>
          <w:szCs w:val="28"/>
        </w:rPr>
        <w:t>Чміль</w:t>
      </w:r>
      <w:proofErr w:type="spellEnd"/>
      <w:r w:rsidRPr="00273EC8">
        <w:rPr>
          <w:sz w:val="28"/>
          <w:szCs w:val="28"/>
        </w:rPr>
        <w:t xml:space="preserve">, с. </w:t>
      </w:r>
      <w:proofErr w:type="spellStart"/>
      <w:r w:rsidRPr="00273EC8">
        <w:rPr>
          <w:sz w:val="28"/>
          <w:szCs w:val="28"/>
        </w:rPr>
        <w:t>Паранине</w:t>
      </w:r>
      <w:proofErr w:type="spellEnd"/>
      <w:r w:rsidRPr="00273EC8">
        <w:rPr>
          <w:sz w:val="28"/>
          <w:szCs w:val="28"/>
        </w:rPr>
        <w:t xml:space="preserve"> в пункти здоров’я. Отже АЗПСМ є 3, ФАПи – 3, ФП – 21, ПЗ – 5.</w:t>
      </w:r>
    </w:p>
    <w:p w14:paraId="51D24DB0" w14:textId="77777777" w:rsidR="005021BA" w:rsidRPr="00273EC8" w:rsidRDefault="005021BA" w:rsidP="005021BA">
      <w:pPr>
        <w:jc w:val="both"/>
        <w:rPr>
          <w:b/>
          <w:sz w:val="28"/>
          <w:szCs w:val="28"/>
        </w:rPr>
      </w:pPr>
      <w:r w:rsidRPr="00273EC8">
        <w:rPr>
          <w:b/>
          <w:noProof/>
          <w:sz w:val="28"/>
          <w:szCs w:val="28"/>
        </w:rPr>
        <w:lastRenderedPageBreak/>
        <w:drawing>
          <wp:inline distT="0" distB="0" distL="0" distR="0" wp14:anchorId="4EA1F94F" wp14:editId="36E63CC4">
            <wp:extent cx="6438900" cy="2571750"/>
            <wp:effectExtent l="0" t="0" r="0" b="0"/>
            <wp:docPr id="26" name="Діагра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BFB38B3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</w:p>
    <w:p w14:paraId="3FBAE3C0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</w:t>
      </w:r>
      <w:proofErr w:type="spellStart"/>
      <w:r w:rsidRPr="00273EC8">
        <w:rPr>
          <w:sz w:val="28"/>
          <w:szCs w:val="28"/>
        </w:rPr>
        <w:t>Коронавірусне</w:t>
      </w:r>
      <w:proofErr w:type="spellEnd"/>
      <w:r w:rsidRPr="00273EC8">
        <w:rPr>
          <w:sz w:val="28"/>
          <w:szCs w:val="28"/>
        </w:rPr>
        <w:t xml:space="preserve"> захворювання COVID-19  - це інфекційна хвороба яку спричиняє вірус SARS-CoV-2.  </w:t>
      </w:r>
    </w:p>
    <w:p w14:paraId="7FC0037B" w14:textId="77777777" w:rsidR="005021BA" w:rsidRPr="00273EC8" w:rsidRDefault="005021BA" w:rsidP="005021BA">
      <w:pPr>
        <w:jc w:val="both"/>
        <w:rPr>
          <w:b/>
          <w:sz w:val="28"/>
          <w:szCs w:val="28"/>
        </w:rPr>
      </w:pPr>
      <w:r w:rsidRPr="00273EC8">
        <w:rPr>
          <w:sz w:val="28"/>
          <w:szCs w:val="28"/>
        </w:rPr>
        <w:t>В грудні 2021 році підтверджено  - 12944 - випадки COVID-19</w:t>
      </w:r>
    </w:p>
    <w:p w14:paraId="04527182" w14:textId="77777777" w:rsidR="005021BA" w:rsidRPr="00273EC8" w:rsidRDefault="005021BA" w:rsidP="005021BA">
      <w:pPr>
        <w:tabs>
          <w:tab w:val="left" w:pos="540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                                          з них - 9236 - місто</w:t>
      </w:r>
    </w:p>
    <w:p w14:paraId="69D94A63" w14:textId="77777777" w:rsidR="005021BA" w:rsidRPr="00273EC8" w:rsidRDefault="005021BA" w:rsidP="005021BA">
      <w:pPr>
        <w:tabs>
          <w:tab w:val="left" w:pos="540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                                               та - 3708 - район</w:t>
      </w:r>
    </w:p>
    <w:p w14:paraId="5007A0B7" w14:textId="77777777" w:rsidR="005021BA" w:rsidRPr="00273EC8" w:rsidRDefault="005021BA" w:rsidP="005021BA">
      <w:pPr>
        <w:tabs>
          <w:tab w:val="left" w:pos="540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Всього за період реєстрації хворих з підтвердженим діагнозом COVID-19 зареєстровано - 75 летальних випадків серед жителів району.</w:t>
      </w:r>
    </w:p>
    <w:p w14:paraId="4FAD63C5" w14:textId="77777777" w:rsidR="005021BA" w:rsidRPr="00273EC8" w:rsidRDefault="005021BA" w:rsidP="005021BA">
      <w:pPr>
        <w:tabs>
          <w:tab w:val="left" w:pos="540"/>
        </w:tabs>
        <w:jc w:val="both"/>
        <w:rPr>
          <w:sz w:val="28"/>
          <w:szCs w:val="28"/>
        </w:rPr>
      </w:pPr>
    </w:p>
    <w:p w14:paraId="49D96DDC" w14:textId="77777777" w:rsidR="005021BA" w:rsidRPr="00273EC8" w:rsidRDefault="005021BA" w:rsidP="005021BA">
      <w:pPr>
        <w:tabs>
          <w:tab w:val="left" w:pos="540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В грудні 2022 році підтверджено  - 8017 випадків COVID-19</w:t>
      </w:r>
    </w:p>
    <w:p w14:paraId="35585CFA" w14:textId="77777777" w:rsidR="005021BA" w:rsidRPr="00273EC8" w:rsidRDefault="005021BA" w:rsidP="005021BA">
      <w:pPr>
        <w:tabs>
          <w:tab w:val="left" w:pos="540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                                         з них - 6136 місто</w:t>
      </w:r>
    </w:p>
    <w:p w14:paraId="19F3A44F" w14:textId="77777777" w:rsidR="005021BA" w:rsidRPr="00273EC8" w:rsidRDefault="005021BA" w:rsidP="005021BA">
      <w:pPr>
        <w:tabs>
          <w:tab w:val="left" w:pos="540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                                              та - 1881 район</w:t>
      </w:r>
    </w:p>
    <w:p w14:paraId="32F33B19" w14:textId="77777777" w:rsidR="005021BA" w:rsidRPr="00273EC8" w:rsidRDefault="005021BA" w:rsidP="005021BA">
      <w:pPr>
        <w:tabs>
          <w:tab w:val="left" w:pos="540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Всього за період реєстрації хворих з підтвердженим діагнозом COVID-19 зареєстровано - 215 летальних випадків серед жителів району.</w:t>
      </w:r>
    </w:p>
    <w:p w14:paraId="382F041A" w14:textId="77777777" w:rsidR="005021BA" w:rsidRPr="00273EC8" w:rsidRDefault="005021BA" w:rsidP="005021BA">
      <w:pPr>
        <w:tabs>
          <w:tab w:val="left" w:pos="540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Отже, в цілому по району епідемічна ситуація з COVID-19 залишається контрольованою тривають щотижневі коливання показників захворюваності, при цьому реєструються поодинокі випадки, захворюваність носить спорадичний характер. </w:t>
      </w:r>
    </w:p>
    <w:p w14:paraId="7EBD2100" w14:textId="77777777" w:rsidR="005021BA" w:rsidRPr="00273EC8" w:rsidRDefault="005021BA" w:rsidP="005021BA">
      <w:pPr>
        <w:tabs>
          <w:tab w:val="left" w:pos="540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</w:t>
      </w:r>
    </w:p>
    <w:p w14:paraId="38A7E8BF" w14:textId="77777777" w:rsidR="005021BA" w:rsidRPr="00273EC8" w:rsidRDefault="005021BA" w:rsidP="005021BA">
      <w:pPr>
        <w:jc w:val="center"/>
        <w:rPr>
          <w:b/>
          <w:sz w:val="28"/>
          <w:szCs w:val="28"/>
        </w:rPr>
      </w:pPr>
    </w:p>
    <w:p w14:paraId="1C98C905" w14:textId="77777777" w:rsidR="005021BA" w:rsidRPr="00273EC8" w:rsidRDefault="005021BA" w:rsidP="005021BA">
      <w:pPr>
        <w:rPr>
          <w:b/>
          <w:sz w:val="28"/>
          <w:szCs w:val="28"/>
          <w:u w:val="single"/>
        </w:rPr>
      </w:pPr>
      <w:r w:rsidRPr="00273EC8">
        <w:rPr>
          <w:b/>
          <w:sz w:val="28"/>
          <w:szCs w:val="28"/>
          <w:u w:val="single"/>
        </w:rPr>
        <w:t>Соціальний захист населення</w:t>
      </w:r>
    </w:p>
    <w:p w14:paraId="2C64924B" w14:textId="77777777" w:rsidR="005021BA" w:rsidRPr="00273EC8" w:rsidRDefault="005021BA" w:rsidP="005021BA">
      <w:pPr>
        <w:jc w:val="both"/>
        <w:rPr>
          <w:b/>
          <w:sz w:val="28"/>
          <w:szCs w:val="28"/>
        </w:rPr>
      </w:pPr>
    </w:p>
    <w:p w14:paraId="294D1A0B" w14:textId="77777777" w:rsidR="005021BA" w:rsidRPr="00273EC8" w:rsidRDefault="005021BA" w:rsidP="005021BA">
      <w:pPr>
        <w:jc w:val="both"/>
        <w:rPr>
          <w:sz w:val="28"/>
          <w:szCs w:val="28"/>
        </w:rPr>
      </w:pPr>
      <w:r w:rsidRPr="00273EC8">
        <w:rPr>
          <w:b/>
          <w:sz w:val="28"/>
          <w:szCs w:val="28"/>
        </w:rPr>
        <w:tab/>
      </w:r>
      <w:r w:rsidRPr="00273EC8">
        <w:rPr>
          <w:sz w:val="28"/>
          <w:szCs w:val="28"/>
        </w:rPr>
        <w:t>Найбільшу питому вагу в структурі управління займає робота спеціалістів відділу соціальних виплат, відділу №1 м. Баранівка та відділу №2 смт Ємільчине, які здійснюють призначення та виплату населенню Звягельського району, державних соціальних допомог сім’ям з дітьми, державної допомоги малозабезпеченим сім’ям, сім’ям з дітьми, по догляду за інвалідом І-ІІ групи внаслідок психічного розладу, особам, які не мають права на пенсію, особам з інвалідністю та ін., здійснювали призначення та виплату населенню  житлових субсидій на придбання твердого палива та скрапленого газу, оплату житлово-комунальних послуг. Всього відділом здійснюється призначення 36 видів соціальних виплат.</w:t>
      </w:r>
    </w:p>
    <w:p w14:paraId="0DECE6D3" w14:textId="77777777" w:rsidR="005021BA" w:rsidRPr="00273EC8" w:rsidRDefault="005021BA" w:rsidP="005021BA">
      <w:pPr>
        <w:jc w:val="center"/>
        <w:rPr>
          <w:b/>
          <w:sz w:val="28"/>
          <w:szCs w:val="28"/>
        </w:rPr>
      </w:pPr>
      <w:r w:rsidRPr="00273EC8">
        <w:rPr>
          <w:b/>
          <w:sz w:val="28"/>
          <w:szCs w:val="28"/>
        </w:rPr>
        <w:t xml:space="preserve">                     </w:t>
      </w:r>
    </w:p>
    <w:p w14:paraId="545FE36D" w14:textId="77777777" w:rsidR="005021BA" w:rsidRPr="00273EC8" w:rsidRDefault="005021BA" w:rsidP="005021BA">
      <w:pPr>
        <w:jc w:val="center"/>
        <w:rPr>
          <w:b/>
          <w:sz w:val="28"/>
          <w:szCs w:val="28"/>
        </w:rPr>
      </w:pPr>
      <w:r w:rsidRPr="00273EC8">
        <w:rPr>
          <w:noProof/>
          <w:sz w:val="28"/>
          <w:szCs w:val="28"/>
        </w:rPr>
        <w:lastRenderedPageBreak/>
        <w:drawing>
          <wp:inline distT="0" distB="0" distL="0" distR="0" wp14:anchorId="39B608B7" wp14:editId="17792255">
            <wp:extent cx="5629275" cy="2181225"/>
            <wp:effectExtent l="0" t="0" r="9525" b="9525"/>
            <wp:docPr id="27" name="Діагра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DA49DF7" w14:textId="77777777" w:rsidR="005021BA" w:rsidRPr="00273EC8" w:rsidRDefault="005021BA" w:rsidP="005021BA">
      <w:pPr>
        <w:jc w:val="center"/>
        <w:rPr>
          <w:b/>
          <w:sz w:val="28"/>
          <w:szCs w:val="28"/>
        </w:rPr>
      </w:pPr>
    </w:p>
    <w:p w14:paraId="2F4D16F9" w14:textId="77777777" w:rsidR="005021BA" w:rsidRPr="00273EC8" w:rsidRDefault="005021BA" w:rsidP="005021BA">
      <w:pPr>
        <w:jc w:val="center"/>
        <w:rPr>
          <w:b/>
          <w:sz w:val="28"/>
          <w:szCs w:val="28"/>
        </w:rPr>
      </w:pPr>
    </w:p>
    <w:p w14:paraId="3B772D3E" w14:textId="77777777" w:rsidR="005021BA" w:rsidRPr="00273EC8" w:rsidRDefault="005021BA" w:rsidP="005021BA">
      <w:pPr>
        <w:jc w:val="center"/>
        <w:rPr>
          <w:b/>
          <w:sz w:val="28"/>
          <w:szCs w:val="28"/>
        </w:rPr>
      </w:pPr>
      <w:r w:rsidRPr="00273EC8">
        <w:rPr>
          <w:b/>
          <w:noProof/>
          <w:sz w:val="28"/>
          <w:szCs w:val="28"/>
        </w:rPr>
        <w:drawing>
          <wp:inline distT="0" distB="0" distL="0" distR="0" wp14:anchorId="1D26E628" wp14:editId="785846BF">
            <wp:extent cx="5486400" cy="180975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60F74BE" w14:textId="77777777" w:rsidR="005021BA" w:rsidRPr="00273EC8" w:rsidRDefault="005021BA" w:rsidP="005021BA">
      <w:pPr>
        <w:jc w:val="center"/>
        <w:rPr>
          <w:b/>
          <w:sz w:val="28"/>
          <w:szCs w:val="28"/>
        </w:rPr>
      </w:pPr>
    </w:p>
    <w:p w14:paraId="79FE9954" w14:textId="77777777" w:rsidR="005021BA" w:rsidRPr="00273EC8" w:rsidRDefault="005021BA" w:rsidP="005021BA">
      <w:pPr>
        <w:tabs>
          <w:tab w:val="left" w:pos="567"/>
        </w:tabs>
        <w:rPr>
          <w:b/>
          <w:iCs/>
          <w:sz w:val="28"/>
          <w:szCs w:val="28"/>
        </w:rPr>
      </w:pPr>
    </w:p>
    <w:p w14:paraId="374D1278" w14:textId="77777777" w:rsidR="005021BA" w:rsidRPr="00273EC8" w:rsidRDefault="005021BA" w:rsidP="005021BA">
      <w:pPr>
        <w:ind w:firstLine="708"/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За 2022 рік за призначенням субсидій на житлово-комунальні послуги звернулося 11662 сімей, що на 29,2% менше ніж у 2021 році, а на придбання твердого палива та скрапленого газу - 7712 сімей, що на  476 сімей більше порівняно з 2021 роком. З кожним роком надання житлової субсидії є більш адресною допомогою і вагомою підтримкою для тих, хто дійсно її потребує.    </w:t>
      </w:r>
    </w:p>
    <w:p w14:paraId="22CA4F40" w14:textId="77777777" w:rsidR="005021BA" w:rsidRPr="00273EC8" w:rsidRDefault="005021BA" w:rsidP="005021BA">
      <w:pPr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 Середній розмір субсидії на придбання твердого палива та скрапленого газу у 2022 році склав 2269,19 грн. ( в 2021 році - 3178,55 грн.), а на оплату житлово-комунальних послуг  становить 523,78 грн. (щомісячно) проти 508,93 грн.</w:t>
      </w:r>
    </w:p>
    <w:p w14:paraId="464F12EE" w14:textId="77777777" w:rsidR="005021BA" w:rsidRPr="00273EC8" w:rsidRDefault="005021BA" w:rsidP="005021BA">
      <w:pPr>
        <w:ind w:firstLine="708"/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У зв’язку з прийняттям постанови КМУ від 16.09.2022 № 1041, функції щодо призначення житлових субсидій передано Пенсійному фонду України. </w:t>
      </w:r>
    </w:p>
    <w:p w14:paraId="26F55EFA" w14:textId="77777777" w:rsidR="005021BA" w:rsidRPr="00273EC8" w:rsidRDefault="005021BA" w:rsidP="005021BA">
      <w:pPr>
        <w:tabs>
          <w:tab w:val="left" w:pos="567"/>
        </w:tabs>
        <w:ind w:right="4961"/>
        <w:rPr>
          <w:b/>
          <w:sz w:val="28"/>
          <w:szCs w:val="28"/>
        </w:rPr>
      </w:pPr>
    </w:p>
    <w:p w14:paraId="2E4968B9" w14:textId="77777777" w:rsidR="005021BA" w:rsidRPr="00273EC8" w:rsidRDefault="005021BA" w:rsidP="005021BA">
      <w:pPr>
        <w:tabs>
          <w:tab w:val="left" w:pos="567"/>
        </w:tabs>
        <w:ind w:right="4961"/>
        <w:rPr>
          <w:b/>
          <w:sz w:val="28"/>
          <w:szCs w:val="28"/>
          <w:u w:val="single"/>
        </w:rPr>
      </w:pPr>
      <w:r w:rsidRPr="00273EC8">
        <w:rPr>
          <w:b/>
          <w:sz w:val="28"/>
          <w:szCs w:val="28"/>
          <w:u w:val="single"/>
        </w:rPr>
        <w:t>Робота з дітьми</w:t>
      </w:r>
    </w:p>
    <w:p w14:paraId="51435B1F" w14:textId="77777777" w:rsidR="005021BA" w:rsidRPr="00273EC8" w:rsidRDefault="005021BA" w:rsidP="005021BA">
      <w:pPr>
        <w:pStyle w:val="docdata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73EC8">
        <w:rPr>
          <w:color w:val="000000"/>
          <w:sz w:val="28"/>
          <w:szCs w:val="28"/>
        </w:rPr>
        <w:t xml:space="preserve">       Станом на 31.12.2022 року у службі у справах дітей Новоград-Волинської районної військової адміністрації  на місцевому обліку з усиновлення перебуває 86 дітей-сиріт та дітей, позбавлених батьківського піклування, з них: </w:t>
      </w:r>
    </w:p>
    <w:p w14:paraId="200B8CE7" w14:textId="77777777" w:rsidR="005021BA" w:rsidRPr="00273EC8" w:rsidRDefault="005021BA" w:rsidP="00502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73EC8">
        <w:rPr>
          <w:color w:val="000000"/>
          <w:sz w:val="28"/>
          <w:szCs w:val="28"/>
        </w:rPr>
        <w:t>- віком 1-2 років –  0;</w:t>
      </w:r>
    </w:p>
    <w:p w14:paraId="76294F2F" w14:textId="77777777" w:rsidR="005021BA" w:rsidRPr="00273EC8" w:rsidRDefault="005021BA" w:rsidP="00502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73EC8">
        <w:rPr>
          <w:color w:val="000000"/>
          <w:sz w:val="28"/>
          <w:szCs w:val="28"/>
        </w:rPr>
        <w:t>- віком 3-5 років – 5 дітей;</w:t>
      </w:r>
    </w:p>
    <w:p w14:paraId="29CFB30A" w14:textId="77777777" w:rsidR="005021BA" w:rsidRPr="00273EC8" w:rsidRDefault="005021BA" w:rsidP="00502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73EC8">
        <w:rPr>
          <w:color w:val="000000"/>
          <w:sz w:val="28"/>
          <w:szCs w:val="28"/>
        </w:rPr>
        <w:t>- віком 6-10 років –  18 дітей;</w:t>
      </w:r>
    </w:p>
    <w:p w14:paraId="20144EF1" w14:textId="77777777" w:rsidR="005021BA" w:rsidRPr="00273EC8" w:rsidRDefault="005021BA" w:rsidP="00502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73EC8">
        <w:rPr>
          <w:color w:val="000000"/>
          <w:sz w:val="28"/>
          <w:szCs w:val="28"/>
        </w:rPr>
        <w:t>- віком 11-17 років  -  63 дитини.</w:t>
      </w:r>
    </w:p>
    <w:p w14:paraId="462531E4" w14:textId="77777777" w:rsidR="005021BA" w:rsidRPr="00273EC8" w:rsidRDefault="005021BA" w:rsidP="00502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73EC8">
        <w:rPr>
          <w:color w:val="000000"/>
          <w:sz w:val="28"/>
          <w:szCs w:val="28"/>
        </w:rPr>
        <w:t xml:space="preserve">        На території Звягельського району проживає 20 сімей, які усиновили 28 дітей. </w:t>
      </w:r>
    </w:p>
    <w:p w14:paraId="1BF7D677" w14:textId="77777777" w:rsidR="005021BA" w:rsidRPr="00273EC8" w:rsidRDefault="005021BA" w:rsidP="005021BA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73EC8">
        <w:rPr>
          <w:color w:val="000000"/>
          <w:sz w:val="28"/>
          <w:szCs w:val="28"/>
        </w:rPr>
        <w:lastRenderedPageBreak/>
        <w:t xml:space="preserve">       Протягом року усиновлено громадянами України 8 дітей та 1 дитину -  громадянином Чеської Республіки.</w:t>
      </w:r>
    </w:p>
    <w:p w14:paraId="0DEB5685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У </w:t>
      </w:r>
      <w:proofErr w:type="spellStart"/>
      <w:r w:rsidRPr="00273EC8">
        <w:rPr>
          <w:sz w:val="28"/>
          <w:szCs w:val="28"/>
        </w:rPr>
        <w:t>Звягельському</w:t>
      </w:r>
      <w:proofErr w:type="spellEnd"/>
      <w:r w:rsidRPr="00273EC8">
        <w:rPr>
          <w:sz w:val="28"/>
          <w:szCs w:val="28"/>
        </w:rPr>
        <w:t xml:space="preserve"> районі (крім м. Звягель та м. Баранівка) функціонує 18 прийомних сімей, в яких виховуються 38 дітей з категорії дітей-сиріт та дітей, позбавлених батьківського піклування. </w:t>
      </w:r>
    </w:p>
    <w:p w14:paraId="1862E424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Протягом 2022 року з прийомних сімей та дитячих будинків сімейного типу було виведено 10 дітей, влаштовано - 21 дитину.  </w:t>
      </w:r>
    </w:p>
    <w:p w14:paraId="24D6F8EB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У 2022 році у районі створено 2 дитячих будинки сімейного типу в                    смт Ємільчине, до якого влаштовано 5 дітей, позбавлених батьківського піклування та в смт </w:t>
      </w:r>
      <w:proofErr w:type="spellStart"/>
      <w:r w:rsidRPr="00273EC8">
        <w:rPr>
          <w:sz w:val="28"/>
          <w:szCs w:val="28"/>
        </w:rPr>
        <w:t>Мар’янівка</w:t>
      </w:r>
      <w:proofErr w:type="spellEnd"/>
      <w:r w:rsidRPr="00273EC8">
        <w:rPr>
          <w:sz w:val="28"/>
          <w:szCs w:val="28"/>
        </w:rPr>
        <w:t xml:space="preserve">, до якого влаштовано 6 дітей, позбавлених батьківського піклування.  </w:t>
      </w:r>
    </w:p>
    <w:p w14:paraId="66181FEB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Також створено прийомну сім'ю в смт </w:t>
      </w:r>
      <w:proofErr w:type="spellStart"/>
      <w:r w:rsidRPr="00273EC8">
        <w:rPr>
          <w:sz w:val="28"/>
          <w:szCs w:val="28"/>
        </w:rPr>
        <w:t>Мар'янівка</w:t>
      </w:r>
      <w:proofErr w:type="spellEnd"/>
      <w:r w:rsidRPr="00273EC8">
        <w:rPr>
          <w:sz w:val="28"/>
          <w:szCs w:val="28"/>
        </w:rPr>
        <w:t>, до якої влаштовано 2 дітей, позбавлених батьківського піклування. Одна сімейна пара пройшла навчання і є кандидатами у прийомні батьки.</w:t>
      </w:r>
    </w:p>
    <w:p w14:paraId="468D5E53" w14:textId="77777777" w:rsidR="005021BA" w:rsidRPr="00273EC8" w:rsidRDefault="005021BA" w:rsidP="005021BA">
      <w:pPr>
        <w:tabs>
          <w:tab w:val="left" w:pos="567"/>
        </w:tabs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       Наразі в ПС/ДБСТ виховується 82 дитини-сироти, дитини, позбавлені батьківського піклування. </w:t>
      </w:r>
    </w:p>
    <w:p w14:paraId="38687BD5" w14:textId="77777777" w:rsidR="005021BA" w:rsidRPr="00273EC8" w:rsidRDefault="005021BA" w:rsidP="005021BA">
      <w:pPr>
        <w:jc w:val="center"/>
        <w:rPr>
          <w:b/>
          <w:i/>
          <w:sz w:val="28"/>
          <w:szCs w:val="28"/>
        </w:rPr>
      </w:pPr>
    </w:p>
    <w:p w14:paraId="1B636084" w14:textId="77777777" w:rsidR="005021BA" w:rsidRPr="00273EC8" w:rsidRDefault="005021BA" w:rsidP="005021BA">
      <w:pPr>
        <w:rPr>
          <w:b/>
          <w:iCs/>
          <w:sz w:val="28"/>
          <w:szCs w:val="28"/>
        </w:rPr>
      </w:pPr>
      <w:r w:rsidRPr="00273EC8">
        <w:rPr>
          <w:b/>
          <w:iCs/>
          <w:sz w:val="28"/>
          <w:szCs w:val="28"/>
        </w:rPr>
        <w:t>Культура</w:t>
      </w:r>
    </w:p>
    <w:p w14:paraId="4E7A5C07" w14:textId="77777777" w:rsidR="005021BA" w:rsidRPr="00273EC8" w:rsidRDefault="005021BA" w:rsidP="005021BA">
      <w:pPr>
        <w:pStyle w:val="a3"/>
        <w:ind w:left="0" w:firstLine="567"/>
        <w:jc w:val="both"/>
        <w:rPr>
          <w:sz w:val="28"/>
          <w:szCs w:val="28"/>
        </w:rPr>
      </w:pPr>
      <w:r w:rsidRPr="00273EC8">
        <w:rPr>
          <w:sz w:val="28"/>
          <w:szCs w:val="28"/>
        </w:rPr>
        <w:t xml:space="preserve">Протягом 2022 року заклади культури Новоград-Волинського району забезпечували ефективне надання культурних послуг, створювали умови для патріотичного, духовного, культурного становлення  населення, сприяли реалізації творчого потенціалу різних верств населення, збереженню і розвитку культурної спадщини, національних традицій, усіх видів та жанрів аматорського народного мистецтва. </w:t>
      </w:r>
    </w:p>
    <w:p w14:paraId="47295B99" w14:textId="77777777" w:rsidR="005021BA" w:rsidRPr="00273EC8" w:rsidRDefault="005021BA" w:rsidP="005021BA">
      <w:pPr>
        <w:pStyle w:val="a3"/>
        <w:tabs>
          <w:tab w:val="left" w:pos="567"/>
        </w:tabs>
        <w:spacing w:before="240"/>
        <w:ind w:left="0" w:firstLine="567"/>
        <w:jc w:val="both"/>
        <w:rPr>
          <w:sz w:val="28"/>
          <w:szCs w:val="28"/>
        </w:rPr>
      </w:pPr>
      <w:r w:rsidRPr="00273EC8">
        <w:rPr>
          <w:sz w:val="28"/>
          <w:szCs w:val="28"/>
        </w:rPr>
        <w:t>Пріоритетними напрямками роботи закладів культури  залишалося пропагування української національної культури у всій її різноманітності, розвиток художньої самодіяльності, народної творчості,  національно-патріотичного виховання, робота з молоддю та дітьми, сприяння творчій діяльності кращих колективів  та працівників у сфері культури.</w:t>
      </w:r>
    </w:p>
    <w:p w14:paraId="35BD7918" w14:textId="77777777" w:rsidR="005021BA" w:rsidRPr="00273EC8" w:rsidRDefault="005021BA" w:rsidP="005021BA">
      <w:pPr>
        <w:rPr>
          <w:b/>
          <w:iCs/>
          <w:sz w:val="28"/>
          <w:szCs w:val="28"/>
          <w:u w:val="single"/>
        </w:rPr>
      </w:pPr>
      <w:r w:rsidRPr="00273EC8">
        <w:rPr>
          <w:b/>
          <w:iCs/>
          <w:sz w:val="28"/>
          <w:szCs w:val="28"/>
          <w:u w:val="single"/>
        </w:rPr>
        <w:t>Фізична культура і спорт</w:t>
      </w:r>
    </w:p>
    <w:p w14:paraId="40DB5739" w14:textId="77777777" w:rsidR="005021BA" w:rsidRPr="00273EC8" w:rsidRDefault="005021BA" w:rsidP="005021BA">
      <w:pPr>
        <w:pStyle w:val="a5"/>
        <w:tabs>
          <w:tab w:val="left" w:pos="180"/>
          <w:tab w:val="left" w:pos="567"/>
        </w:tabs>
        <w:ind w:left="0" w:right="-6" w:firstLine="360"/>
        <w:rPr>
          <w:szCs w:val="28"/>
        </w:rPr>
      </w:pPr>
      <w:r w:rsidRPr="00273EC8">
        <w:rPr>
          <w:szCs w:val="28"/>
        </w:rPr>
        <w:t xml:space="preserve">   Незважаючи на введення воєнного стану регулярно проводиться</w:t>
      </w:r>
      <w:r w:rsidRPr="00273EC8">
        <w:rPr>
          <w:b/>
          <w:szCs w:val="28"/>
        </w:rPr>
        <w:t xml:space="preserve"> </w:t>
      </w:r>
      <w:r w:rsidRPr="00273EC8">
        <w:rPr>
          <w:szCs w:val="28"/>
        </w:rPr>
        <w:t>фізкультурно-спортивна та оздоровча робота.</w:t>
      </w:r>
      <w:r w:rsidRPr="00273EC8">
        <w:rPr>
          <w:b/>
          <w:szCs w:val="28"/>
        </w:rPr>
        <w:t xml:space="preserve"> </w:t>
      </w:r>
      <w:r w:rsidRPr="00273EC8">
        <w:rPr>
          <w:szCs w:val="28"/>
        </w:rPr>
        <w:t>Продовжувалось здійснення заходів з поліпшення організаційного, нормативно-правового, матеріально-технічного, фінансового, науково-методичного, інформаційного забезпечення сфери фізичної культури і спорту, а саме: забезпечення функціонування діючої мережі спортивних споруд, зміцнення матеріально-технічної бази; створення належних умов для проведення змагань міського, обласного, державного та міжнародних рівнів; забезпечення утримання та ремонту наявних спортивних споруд та недопущення їх перепрофілювання; залучення населення до занять фізичною культурою та спортом на підприємствах, установах, організаціях за місцем проживання тощо.</w:t>
      </w:r>
    </w:p>
    <w:p w14:paraId="1C15D27E" w14:textId="77777777" w:rsidR="005021BA" w:rsidRPr="00273EC8" w:rsidRDefault="005021BA">
      <w:pPr>
        <w:rPr>
          <w:sz w:val="28"/>
          <w:szCs w:val="28"/>
        </w:rPr>
      </w:pPr>
    </w:p>
    <w:sectPr w:rsidR="005021BA" w:rsidRPr="00273EC8" w:rsidSect="005021BA">
      <w:headerReference w:type="default" r:id="rId1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FB06" w14:textId="77777777" w:rsidR="003053BA" w:rsidRDefault="003053BA" w:rsidP="005021BA">
      <w:r>
        <w:separator/>
      </w:r>
    </w:p>
  </w:endnote>
  <w:endnote w:type="continuationSeparator" w:id="0">
    <w:p w14:paraId="5EE9AD06" w14:textId="77777777" w:rsidR="003053BA" w:rsidRDefault="003053BA" w:rsidP="0050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6955" w14:textId="77777777" w:rsidR="003053BA" w:rsidRDefault="003053BA" w:rsidP="005021BA">
      <w:r>
        <w:separator/>
      </w:r>
    </w:p>
  </w:footnote>
  <w:footnote w:type="continuationSeparator" w:id="0">
    <w:p w14:paraId="085A4612" w14:textId="77777777" w:rsidR="003053BA" w:rsidRDefault="003053BA" w:rsidP="0050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79387"/>
      <w:docPartObj>
        <w:docPartGallery w:val="Page Numbers (Top of Page)"/>
        <w:docPartUnique/>
      </w:docPartObj>
    </w:sdtPr>
    <w:sdtEndPr/>
    <w:sdtContent>
      <w:p w14:paraId="03AC5EDE" w14:textId="109EA257" w:rsidR="005021BA" w:rsidRDefault="005021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6CD93" w14:textId="77777777" w:rsidR="005021BA" w:rsidRDefault="005021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4134"/>
    <w:multiLevelType w:val="hybridMultilevel"/>
    <w:tmpl w:val="22127B6E"/>
    <w:lvl w:ilvl="0" w:tplc="64D4A6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BB"/>
    <w:rsid w:val="001356BB"/>
    <w:rsid w:val="00273EC8"/>
    <w:rsid w:val="002F750F"/>
    <w:rsid w:val="003053BA"/>
    <w:rsid w:val="005021BA"/>
    <w:rsid w:val="00681106"/>
    <w:rsid w:val="00D96F9A"/>
    <w:rsid w:val="00EB24FE"/>
    <w:rsid w:val="00F2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68C1"/>
  <w15:chartTrackingRefBased/>
  <w15:docId w15:val="{C25E81C1-6E75-4BE0-BE85-29E1AEF7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2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5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1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5021BA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502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nhideWhenUsed/>
    <w:rsid w:val="005021BA"/>
    <w:pPr>
      <w:widowControl/>
      <w:autoSpaceDE/>
      <w:autoSpaceDN/>
      <w:adjustRightInd/>
      <w:ind w:left="-567" w:right="-567" w:firstLine="567"/>
      <w:jc w:val="both"/>
    </w:pPr>
    <w:rPr>
      <w:sz w:val="28"/>
    </w:rPr>
  </w:style>
  <w:style w:type="paragraph" w:customStyle="1" w:styleId="docdata">
    <w:name w:val="docdata"/>
    <w:aliases w:val="docy,v5,4377,baiaagaaboqcaaadtw8aaavddwaaaaaaaaaaaaaaaaaaaaaaaaaaaaaaaaaaaaaaaaaaaaaaaaaaaaaaaaaaaaaaaaaaaaaaaaaaaaaaaaaaaaaaaaaaaaaaaaaaaaaaaaaaaaaaaaaaaaaaaaaaaaaaaaaaaaaaaaaaaaaaaaaaaaaaaaaaaaaaaaaaaaaaaaaaaaaaaaaaaaaaaaaaaaaaaaaaaaaaaaaaaaaa"/>
    <w:basedOn w:val="a"/>
    <w:rsid w:val="005021BA"/>
    <w:pPr>
      <w:widowControl/>
      <w:autoSpaceDE/>
      <w:autoSpaceDN/>
      <w:adjustRightInd/>
      <w:spacing w:before="100" w:beforeAutospacing="1" w:after="100" w:afterAutospacing="1"/>
    </w:pPr>
    <w:rPr>
      <w:lang w:eastAsia="uk-UA"/>
    </w:rPr>
  </w:style>
  <w:style w:type="paragraph" w:styleId="a6">
    <w:name w:val="Normal (Web)"/>
    <w:basedOn w:val="a"/>
    <w:uiPriority w:val="99"/>
    <w:unhideWhenUsed/>
    <w:rsid w:val="005021BA"/>
    <w:pPr>
      <w:widowControl/>
      <w:autoSpaceDE/>
      <w:autoSpaceDN/>
      <w:adjustRightInd/>
      <w:spacing w:before="100" w:beforeAutospacing="1" w:after="100" w:afterAutospacing="1"/>
    </w:pPr>
    <w:rPr>
      <w:lang w:eastAsia="uk-UA"/>
    </w:rPr>
  </w:style>
  <w:style w:type="paragraph" w:styleId="a7">
    <w:name w:val="header"/>
    <w:basedOn w:val="a"/>
    <w:link w:val="a8"/>
    <w:uiPriority w:val="99"/>
    <w:unhideWhenUsed/>
    <w:rsid w:val="005021B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02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21B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02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5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промислового виробництва (млн.грн)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316662635600585"/>
          <c:y val="0.31175449222693313"/>
          <c:w val="0.84185590282443368"/>
          <c:h val="0.54353414403081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млн.грн.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2021 рік</c:v>
                </c:pt>
                <c:pt idx="1">
                  <c:v>2022 рік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2.78</c:v>
                </c:pt>
                <c:pt idx="1">
                  <c:v>2.41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E4-4970-B998-0470ECA0C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46472768"/>
        <c:axId val="1"/>
        <c:axId val="0"/>
      </c:bar3DChart>
      <c:catAx>
        <c:axId val="184647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4647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>
                <a:effectLst/>
              </a:rPr>
              <a:t>Суми призначених житлових субсидій, млн.грн.</a:t>
            </a:r>
            <a:endParaRPr lang="uk-UA" sz="18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Скраплений газ та тверде паливо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Аркуш1!$A$2:$A$3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23</c:v>
                </c:pt>
                <c:pt idx="1">
                  <c:v>17.5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38-4F77-9CFB-143F7D469BEE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Житлово-комунальні послуги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Аркуш1!$A$2:$A$3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Аркуш1!$C$2:$C$3</c:f>
              <c:numCache>
                <c:formatCode>General</c:formatCode>
                <c:ptCount val="2"/>
                <c:pt idx="0">
                  <c:v>100.5</c:v>
                </c:pt>
                <c:pt idx="1">
                  <c:v>72.3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38-4F77-9CFB-143F7D469BE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1375240272"/>
        <c:axId val="1372314352"/>
      </c:barChart>
      <c:catAx>
        <c:axId val="137524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72314352"/>
        <c:crosses val="autoZero"/>
        <c:auto val="1"/>
        <c:lblAlgn val="ctr"/>
        <c:lblOffset val="100"/>
        <c:noMultiLvlLbl val="0"/>
      </c:catAx>
      <c:valAx>
        <c:axId val="1372314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37524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промислового виробництва району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ADE-4A21-86D7-60D58B7D66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ADE-4A21-86D7-60D58B7D66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ADE-4A21-86D7-60D58B7D66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ADE-4A21-86D7-60D58B7D66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ADE-4A21-86D7-60D58B7D666C}"/>
              </c:ext>
            </c:extLst>
          </c:dPt>
          <c:dLbls>
            <c:dLbl>
              <c:idx val="0"/>
              <c:layout>
                <c:manualLayout>
                  <c:x val="7.8681552365762894E-2"/>
                  <c:y val="-0.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DE-4A21-86D7-60D58B7D666C}"/>
                </c:ext>
              </c:extLst>
            </c:dLbl>
            <c:dLbl>
              <c:idx val="1"/>
              <c:layout>
                <c:manualLayout>
                  <c:x val="-0.16435185185185186"/>
                  <c:y val="0.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DE-4A21-86D7-60D58B7D666C}"/>
                </c:ext>
              </c:extLst>
            </c:dLbl>
            <c:dLbl>
              <c:idx val="2"/>
              <c:layout>
                <c:manualLayout>
                  <c:x val="-0.11111111111111113"/>
                  <c:y val="-1.19047619047619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DE-4A21-86D7-60D58B7D666C}"/>
                </c:ext>
              </c:extLst>
            </c:dLbl>
            <c:dLbl>
              <c:idx val="3"/>
              <c:layout>
                <c:manualLayout>
                  <c:x val="1.9138755980861243E-2"/>
                  <c:y val="-3.04761904761904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DE-4A21-86D7-60D58B7D666C}"/>
                </c:ext>
              </c:extLst>
            </c:dLbl>
            <c:dLbl>
              <c:idx val="4"/>
              <c:layout>
                <c:manualLayout>
                  <c:x val="0.25686688685445414"/>
                  <c:y val="4.28571428571428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DE-4A21-86D7-60D58B7D666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виробництво іншої неметалевої мінеральної   продукції </c:v>
                </c:pt>
                <c:pt idx="1">
                  <c:v>оброблення деревини та виробництво виробів з деревини</c:v>
                </c:pt>
                <c:pt idx="2">
                  <c:v>добувна промисловість </c:v>
                </c:pt>
                <c:pt idx="3">
                  <c:v>легка промисловість  </c:v>
                </c:pt>
                <c:pt idx="4">
                  <c:v>виробництво харчових продуктів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0.83299999999999996</c:v>
                </c:pt>
                <c:pt idx="1">
                  <c:v>8.6999999999999994E-2</c:v>
                </c:pt>
                <c:pt idx="2">
                  <c:v>7.0999999999999994E-2</c:v>
                </c:pt>
                <c:pt idx="3">
                  <c:v>6.0000000000000001E-3</c:v>
                </c:pt>
                <c:pt idx="4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ADE-4A21-86D7-60D58B7D666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Ринок праці</a:t>
            </a:r>
          </a:p>
        </c:rich>
      </c:tx>
      <c:layout>
        <c:manualLayout>
          <c:xMode val="edge"/>
          <c:yMode val="edge"/>
          <c:x val="0.3342707421988917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Отримали допомогу по безробіттю, осіб</c:v>
                </c:pt>
                <c:pt idx="1">
                  <c:v>Вакансії</c:v>
                </c:pt>
                <c:pt idx="2">
                  <c:v>Кількість працевлаштованих осіб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5558</c:v>
                </c:pt>
                <c:pt idx="1">
                  <c:v>3305</c:v>
                </c:pt>
                <c:pt idx="2">
                  <c:v>1953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D0-47C1-8846-E0C9DACCF5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рік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Отримали допомогу по безробіттю, осіб</c:v>
                </c:pt>
                <c:pt idx="1">
                  <c:v>Вакансії</c:v>
                </c:pt>
                <c:pt idx="2">
                  <c:v>Кількість працевлаштованих осіб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4539</c:v>
                </c:pt>
                <c:pt idx="1">
                  <c:v>2301</c:v>
                </c:pt>
                <c:pt idx="2">
                  <c:v>1694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D0-47C1-8846-E0C9DACCF52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33634863"/>
        <c:axId val="1290890031"/>
      </c:barChart>
      <c:catAx>
        <c:axId val="143363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90890031"/>
        <c:crosses val="autoZero"/>
        <c:auto val="1"/>
        <c:lblAlgn val="ctr"/>
        <c:lblOffset val="100"/>
        <c:noMultiLvlLbl val="0"/>
      </c:catAx>
      <c:valAx>
        <c:axId val="129089003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33634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uk-UA"/>
              <a:t>Заклади загальної середньої освіти Звягельського району (2022/2023 н.р.)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Баранівська МР</c:v>
                </c:pt>
                <c:pt idx="1">
                  <c:v>Барашівська СР</c:v>
                </c:pt>
                <c:pt idx="2">
                  <c:v>Брониківська СР</c:v>
                </c:pt>
                <c:pt idx="3">
                  <c:v>Городницька СР</c:v>
                </c:pt>
                <c:pt idx="4">
                  <c:v>Довбиська СР</c:v>
                </c:pt>
                <c:pt idx="5">
                  <c:v>Дубрівська СР</c:v>
                </c:pt>
                <c:pt idx="6">
                  <c:v>Ємільчинська СР</c:v>
                </c:pt>
                <c:pt idx="7">
                  <c:v>Звягельська СР</c:v>
                </c:pt>
                <c:pt idx="8">
                  <c:v>Піщівська СР</c:v>
                </c:pt>
                <c:pt idx="9">
                  <c:v>Стриївська СР</c:v>
                </c:pt>
                <c:pt idx="10">
                  <c:v>Чижівська СР</c:v>
                </c:pt>
                <c:pt idx="11">
                  <c:v>Яруньська СР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11</c:v>
                </c:pt>
                <c:pt idx="1">
                  <c:v>6</c:v>
                </c:pt>
                <c:pt idx="2">
                  <c:v>9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13</c:v>
                </c:pt>
                <c:pt idx="7">
                  <c:v>14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52-4DD8-973D-EE5F7F6EBEC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64379328"/>
        <c:axId val="633065520"/>
      </c:barChart>
      <c:catAx>
        <c:axId val="46437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uk-UA"/>
          </a:p>
        </c:txPr>
        <c:crossAx val="633065520"/>
        <c:crosses val="autoZero"/>
        <c:auto val="1"/>
        <c:lblAlgn val="ctr"/>
        <c:lblOffset val="100"/>
        <c:noMultiLvlLbl val="0"/>
      </c:catAx>
      <c:valAx>
        <c:axId val="6330655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64379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Дошкільні</a:t>
            </a:r>
            <a:r>
              <a:rPr lang="uk-UA" baseline="0"/>
              <a:t> навчальні заклади Звягелського району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2021/2022 н.р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Баранівська</c:v>
                </c:pt>
                <c:pt idx="1">
                  <c:v>Барашівська</c:v>
                </c:pt>
                <c:pt idx="2">
                  <c:v>Брониківська</c:v>
                </c:pt>
                <c:pt idx="3">
                  <c:v>Городницька</c:v>
                </c:pt>
                <c:pt idx="4">
                  <c:v>Довбиська </c:v>
                </c:pt>
                <c:pt idx="5">
                  <c:v>Дубрівська</c:v>
                </c:pt>
                <c:pt idx="6">
                  <c:v>Ємільчинська</c:v>
                </c:pt>
                <c:pt idx="7">
                  <c:v>Звягельська</c:v>
                </c:pt>
                <c:pt idx="8">
                  <c:v>Піщівська</c:v>
                </c:pt>
                <c:pt idx="9">
                  <c:v>Стриївська</c:v>
                </c:pt>
                <c:pt idx="10">
                  <c:v>Чижівська </c:v>
                </c:pt>
                <c:pt idx="11">
                  <c:v>Яруньська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14</c:v>
                </c:pt>
                <c:pt idx="1">
                  <c:v>6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26</c:v>
                </c:pt>
                <c:pt idx="7">
                  <c:v>16</c:v>
                </c:pt>
                <c:pt idx="8">
                  <c:v>5</c:v>
                </c:pt>
                <c:pt idx="9">
                  <c:v>5</c:v>
                </c:pt>
                <c:pt idx="10">
                  <c:v>9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D6-4048-A9EE-E48E4A22211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2022/2023 н.р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Баранівська</c:v>
                </c:pt>
                <c:pt idx="1">
                  <c:v>Барашівська</c:v>
                </c:pt>
                <c:pt idx="2">
                  <c:v>Брониківська</c:v>
                </c:pt>
                <c:pt idx="3">
                  <c:v>Городницька</c:v>
                </c:pt>
                <c:pt idx="4">
                  <c:v>Довбиська </c:v>
                </c:pt>
                <c:pt idx="5">
                  <c:v>Дубрівська</c:v>
                </c:pt>
                <c:pt idx="6">
                  <c:v>Ємільчинська</c:v>
                </c:pt>
                <c:pt idx="7">
                  <c:v>Звягельська</c:v>
                </c:pt>
                <c:pt idx="8">
                  <c:v>Піщівська</c:v>
                </c:pt>
                <c:pt idx="9">
                  <c:v>Стриївська</c:v>
                </c:pt>
                <c:pt idx="10">
                  <c:v>Чижівська </c:v>
                </c:pt>
                <c:pt idx="11">
                  <c:v>Яруньська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12</c:v>
                </c:pt>
                <c:pt idx="1">
                  <c:v>6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26</c:v>
                </c:pt>
                <c:pt idx="7">
                  <c:v>16</c:v>
                </c:pt>
                <c:pt idx="8">
                  <c:v>4</c:v>
                </c:pt>
                <c:pt idx="9">
                  <c:v>4</c:v>
                </c:pt>
                <c:pt idx="10">
                  <c:v>9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D6-4048-A9EE-E48E4A22211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65175232"/>
        <c:axId val="694396000"/>
      </c:barChart>
      <c:catAx>
        <c:axId val="86517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94396000"/>
        <c:crosses val="autoZero"/>
        <c:auto val="1"/>
        <c:lblAlgn val="ctr"/>
        <c:lblOffset val="100"/>
        <c:noMultiLvlLbl val="0"/>
      </c:catAx>
      <c:valAx>
        <c:axId val="694396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6517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0" u="none" strike="noStrike" baseline="0">
                <a:effectLst/>
              </a:rPr>
              <a:t>Мережа закладів охорони здоров’я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Аркуш1!$A$2:$A$4</c:f>
              <c:strCache>
                <c:ptCount val="3"/>
                <c:pt idx="0">
                  <c:v>Лікарні</c:v>
                </c:pt>
                <c:pt idx="1">
                  <c:v>ЦПМСД</c:v>
                </c:pt>
                <c:pt idx="2">
                  <c:v>АЗПСМ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C3-42B3-90CD-508F7A7CE88A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Аркуш1!$A$2:$A$4</c:f>
              <c:strCache>
                <c:ptCount val="3"/>
                <c:pt idx="0">
                  <c:v>Лікарні</c:v>
                </c:pt>
                <c:pt idx="1">
                  <c:v>ЦПМСД</c:v>
                </c:pt>
                <c:pt idx="2">
                  <c:v>АЗПСМ</c:v>
                </c:pt>
              </c:strCache>
            </c:strRef>
          </c:cat>
          <c:val>
            <c:numRef>
              <c:f>Аркуш1!$C$2:$C$4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C3-42B3-90CD-508F7A7CE88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62316512"/>
        <c:axId val="690301504"/>
      </c:barChart>
      <c:catAx>
        <c:axId val="86231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90301504"/>
        <c:crosses val="autoZero"/>
        <c:auto val="1"/>
        <c:lblAlgn val="ctr"/>
        <c:lblOffset val="100"/>
        <c:noMultiLvlLbl val="0"/>
      </c:catAx>
      <c:valAx>
        <c:axId val="6903015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6231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Мережа охорони здоров</a:t>
            </a:r>
            <a:r>
              <a:rPr lang="en-US"/>
              <a:t>'</a:t>
            </a:r>
            <a:r>
              <a:rPr lang="uk-UA"/>
              <a:t>я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Аркуш1!$A$2:$A$3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14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6-41AE-8EE8-542D1E7FE50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39692048"/>
        <c:axId val="633073008"/>
      </c:barChart>
      <c:catAx>
        <c:axId val="63969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33073008"/>
        <c:crosses val="autoZero"/>
        <c:auto val="1"/>
        <c:lblAlgn val="ctr"/>
        <c:lblOffset val="100"/>
        <c:noMultiLvlLbl val="0"/>
      </c:catAx>
      <c:valAx>
        <c:axId val="6330730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3969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Коронавірусне захворювання COVID-19</a:t>
            </a:r>
          </a:p>
        </c:rich>
      </c:tx>
      <c:layout>
        <c:manualLayout>
          <c:xMode val="edge"/>
          <c:yMode val="edge"/>
          <c:x val="0.20863425925925921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4"/>
                <c:pt idx="0">
                  <c:v>Підтверджено </c:v>
                </c:pt>
                <c:pt idx="1">
                  <c:v>Міське населення</c:v>
                </c:pt>
                <c:pt idx="2">
                  <c:v>Сільське населення</c:v>
                </c:pt>
                <c:pt idx="3">
                  <c:v>Летальних випадків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12944</c:v>
                </c:pt>
                <c:pt idx="1">
                  <c:v>9236</c:v>
                </c:pt>
                <c:pt idx="2">
                  <c:v>3708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7E-4D1E-B024-3B61AD89414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4"/>
                <c:pt idx="0">
                  <c:v>Підтверджено </c:v>
                </c:pt>
                <c:pt idx="1">
                  <c:v>Міське населення</c:v>
                </c:pt>
                <c:pt idx="2">
                  <c:v>Сільське населення</c:v>
                </c:pt>
                <c:pt idx="3">
                  <c:v>Летальних випадків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8017</c:v>
                </c:pt>
                <c:pt idx="1">
                  <c:v>6136</c:v>
                </c:pt>
                <c:pt idx="2">
                  <c:v>1881</c:v>
                </c:pt>
                <c:pt idx="3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7E-4D1E-B024-3B61AD89414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06480816"/>
        <c:axId val="858102256"/>
      </c:barChart>
      <c:catAx>
        <c:axId val="110648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58102256"/>
        <c:crosses val="autoZero"/>
        <c:auto val="1"/>
        <c:lblAlgn val="ctr"/>
        <c:lblOffset val="100"/>
        <c:noMultiLvlLbl val="0"/>
      </c:catAx>
      <c:valAx>
        <c:axId val="85810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0648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 sz="1800" b="1">
                <a:effectLst/>
              </a:rPr>
              <a:t>ЖИТЛОВІ СУБСИДІЇ </a:t>
            </a:r>
            <a:endParaRPr lang="uk-UA" sz="1800">
              <a:effectLst/>
            </a:endParaRPr>
          </a:p>
          <a:p>
            <a:pPr>
              <a:defRPr/>
            </a:pPr>
            <a:r>
              <a:rPr lang="uk-UA" sz="1800" b="1">
                <a:effectLst/>
              </a:rPr>
              <a:t>кількість звернень (кількість</a:t>
            </a:r>
            <a:r>
              <a:rPr lang="uk-UA" sz="1800" b="1" baseline="0">
                <a:effectLst/>
              </a:rPr>
              <a:t> </a:t>
            </a:r>
            <a:r>
              <a:rPr lang="uk-UA" sz="1800" b="1">
                <a:effectLst/>
              </a:rPr>
              <a:t>домогосподарств)       </a:t>
            </a:r>
            <a:endParaRPr lang="uk-UA" sz="1800">
              <a:effectLst/>
            </a:endParaRPr>
          </a:p>
        </c:rich>
      </c:tx>
      <c:layout>
        <c:manualLayout>
          <c:xMode val="edge"/>
          <c:yMode val="edge"/>
          <c:x val="0.29214694517351997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Скраплений газ та тверде паливо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Аркуш1!$A$2:$A$3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7236</c:v>
                </c:pt>
                <c:pt idx="1">
                  <c:v>16455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5D-4165-A2DA-CBF3D2BF0D30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Житлово-комунальні послуги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Аркуш1!$A$2:$A$3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Аркуш1!$C$2:$C$3</c:f>
              <c:numCache>
                <c:formatCode>General</c:formatCode>
                <c:ptCount val="2"/>
                <c:pt idx="0">
                  <c:v>7712</c:v>
                </c:pt>
                <c:pt idx="1">
                  <c:v>11662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5D-4165-A2DA-CBF3D2BF0D3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97508672"/>
        <c:axId val="691730672"/>
      </c:barChart>
      <c:catAx>
        <c:axId val="99750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91730672"/>
        <c:crosses val="autoZero"/>
        <c:auto val="1"/>
        <c:lblAlgn val="ctr"/>
        <c:lblOffset val="100"/>
        <c:noMultiLvlLbl val="0"/>
      </c:catAx>
      <c:valAx>
        <c:axId val="69173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9750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2561</Words>
  <Characters>16214</Characters>
  <Application>Microsoft Office Word</Application>
  <DocSecurity>0</DocSecurity>
  <Lines>704</Lines>
  <Paragraphs>268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Савчук</dc:creator>
  <cp:keywords/>
  <dc:description/>
  <cp:lastModifiedBy>Андрій Савчук</cp:lastModifiedBy>
  <cp:revision>5</cp:revision>
  <cp:lastPrinted>2023-05-01T07:50:00Z</cp:lastPrinted>
  <dcterms:created xsi:type="dcterms:W3CDTF">2023-05-01T07:28:00Z</dcterms:created>
  <dcterms:modified xsi:type="dcterms:W3CDTF">2023-05-02T08:47:00Z</dcterms:modified>
</cp:coreProperties>
</file>