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5069"/>
        <w:gridCol w:w="5069"/>
      </w:tblGrid>
      <w:tr w:rsidR="00E8661C" w:rsidRPr="005B5567" w:rsidTr="007511F9">
        <w:tc>
          <w:tcPr>
            <w:tcW w:w="10138" w:type="dxa"/>
            <w:gridSpan w:val="2"/>
          </w:tcPr>
          <w:p w:rsidR="00E8661C" w:rsidRPr="005B5567" w:rsidRDefault="00E8661C" w:rsidP="007511F9">
            <w:pPr>
              <w:pStyle w:val="5"/>
              <w:rPr>
                <w:b w:val="0"/>
                <w:lang w:val="uk-UA"/>
              </w:rPr>
            </w:pPr>
            <w:r w:rsidRPr="005B5567">
              <w:rPr>
                <w:lang w:val="uk-UA" w:eastAsia="uk-UA"/>
              </w:rPr>
              <w:drawing>
                <wp:inline distT="0" distB="0" distL="0" distR="0">
                  <wp:extent cx="590550" cy="790575"/>
                  <wp:effectExtent l="19050" t="0" r="0" b="0"/>
                  <wp:docPr id="3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61C" w:rsidRPr="005B5567" w:rsidRDefault="00E8661C" w:rsidP="007511F9">
            <w:pPr>
              <w:pStyle w:val="5"/>
              <w:rPr>
                <w:b w:val="0"/>
                <w:sz w:val="24"/>
                <w:lang w:val="uk-UA"/>
              </w:rPr>
            </w:pPr>
            <w:r w:rsidRPr="005B5567">
              <w:rPr>
                <w:b w:val="0"/>
                <w:lang w:val="uk-UA"/>
              </w:rPr>
              <w:t>УКРАЇНА</w:t>
            </w:r>
          </w:p>
        </w:tc>
      </w:tr>
      <w:tr w:rsidR="00E8661C" w:rsidRPr="005B5567" w:rsidTr="007511F9">
        <w:tc>
          <w:tcPr>
            <w:tcW w:w="10138" w:type="dxa"/>
            <w:gridSpan w:val="2"/>
          </w:tcPr>
          <w:p w:rsidR="00E8661C" w:rsidRPr="005B5567" w:rsidRDefault="00E8661C" w:rsidP="007511F9">
            <w:pPr>
              <w:pStyle w:val="6"/>
              <w:rPr>
                <w:b/>
                <w:sz w:val="24"/>
                <w:lang w:val="uk-UA"/>
              </w:rPr>
            </w:pPr>
            <w:r w:rsidRPr="005B5567">
              <w:rPr>
                <w:b/>
                <w:lang w:val="uk-UA"/>
              </w:rPr>
              <w:t>НОВОГРАД-ВОЛИНСЬКА РАЙОННА РАДА</w:t>
            </w:r>
          </w:p>
        </w:tc>
      </w:tr>
      <w:tr w:rsidR="00E8661C" w:rsidRPr="005B5567" w:rsidTr="007511F9">
        <w:tc>
          <w:tcPr>
            <w:tcW w:w="10138" w:type="dxa"/>
            <w:gridSpan w:val="2"/>
          </w:tcPr>
          <w:p w:rsidR="00E8661C" w:rsidRPr="005B5567" w:rsidRDefault="00E8661C" w:rsidP="007511F9">
            <w:pPr>
              <w:pStyle w:val="5"/>
              <w:rPr>
                <w:b w:val="0"/>
                <w:lang w:val="uk-UA"/>
              </w:rPr>
            </w:pPr>
            <w:r w:rsidRPr="005B5567">
              <w:rPr>
                <w:b w:val="0"/>
                <w:lang w:val="uk-UA"/>
              </w:rPr>
              <w:t>ЖИТОМИРСЬКОЇ ОБЛАСТІ</w:t>
            </w:r>
          </w:p>
        </w:tc>
      </w:tr>
      <w:tr w:rsidR="00E8661C" w:rsidRPr="005B5567" w:rsidTr="007511F9">
        <w:tc>
          <w:tcPr>
            <w:tcW w:w="10138" w:type="dxa"/>
            <w:gridSpan w:val="2"/>
          </w:tcPr>
          <w:p w:rsidR="00E8661C" w:rsidRPr="005B5567" w:rsidRDefault="00E8661C" w:rsidP="007511F9">
            <w:pPr>
              <w:pStyle w:val="5"/>
              <w:rPr>
                <w:sz w:val="20"/>
                <w:lang w:val="uk-UA"/>
              </w:rPr>
            </w:pPr>
          </w:p>
        </w:tc>
      </w:tr>
      <w:tr w:rsidR="00E8661C" w:rsidRPr="005B5567" w:rsidTr="007511F9">
        <w:tc>
          <w:tcPr>
            <w:tcW w:w="10138" w:type="dxa"/>
            <w:gridSpan w:val="2"/>
          </w:tcPr>
          <w:p w:rsidR="00E8661C" w:rsidRPr="005B5567" w:rsidRDefault="00E8661C" w:rsidP="007511F9">
            <w:pPr>
              <w:pStyle w:val="5"/>
              <w:rPr>
                <w:sz w:val="36"/>
                <w:lang w:val="uk-UA"/>
              </w:rPr>
            </w:pPr>
            <w:r w:rsidRPr="005B5567">
              <w:rPr>
                <w:sz w:val="36"/>
                <w:lang w:val="uk-UA"/>
              </w:rPr>
              <w:t xml:space="preserve">Р І Ш Е Н </w:t>
            </w:r>
            <w:proofErr w:type="spellStart"/>
            <w:r w:rsidRPr="005B5567">
              <w:rPr>
                <w:sz w:val="36"/>
                <w:lang w:val="uk-UA"/>
              </w:rPr>
              <w:t>Н</w:t>
            </w:r>
            <w:proofErr w:type="spellEnd"/>
            <w:r w:rsidRPr="005B5567">
              <w:rPr>
                <w:sz w:val="36"/>
                <w:lang w:val="uk-UA"/>
              </w:rPr>
              <w:t xml:space="preserve"> Я</w:t>
            </w:r>
          </w:p>
        </w:tc>
      </w:tr>
      <w:tr w:rsidR="00E8661C" w:rsidRPr="005B5567" w:rsidTr="007511F9">
        <w:tc>
          <w:tcPr>
            <w:tcW w:w="10138" w:type="dxa"/>
            <w:gridSpan w:val="2"/>
          </w:tcPr>
          <w:p w:rsidR="00E8661C" w:rsidRPr="005B5567" w:rsidRDefault="00E8661C" w:rsidP="007511F9">
            <w:pPr>
              <w:pStyle w:val="5"/>
              <w:rPr>
                <w:sz w:val="20"/>
                <w:lang w:val="uk-UA"/>
              </w:rPr>
            </w:pPr>
          </w:p>
        </w:tc>
      </w:tr>
      <w:tr w:rsidR="00E8661C" w:rsidRPr="005B5567" w:rsidTr="007511F9">
        <w:tc>
          <w:tcPr>
            <w:tcW w:w="5069" w:type="dxa"/>
          </w:tcPr>
          <w:p w:rsidR="00E8661C" w:rsidRPr="005B5567" w:rsidRDefault="00E8661C" w:rsidP="007511F9">
            <w:pPr>
              <w:pStyle w:val="5"/>
              <w:jc w:val="left"/>
              <w:rPr>
                <w:bCs/>
                <w:lang w:val="uk-UA"/>
              </w:rPr>
            </w:pPr>
            <w:r w:rsidRPr="005B5567">
              <w:rPr>
                <w:bCs/>
                <w:lang w:val="uk-UA"/>
              </w:rPr>
              <w:t xml:space="preserve">Одинадцята сесія  </w:t>
            </w:r>
          </w:p>
          <w:p w:rsidR="00E8661C" w:rsidRPr="005B5567" w:rsidRDefault="00E8661C" w:rsidP="007511F9">
            <w:pPr>
              <w:pStyle w:val="5"/>
              <w:jc w:val="left"/>
              <w:rPr>
                <w:bCs/>
                <w:lang w:val="uk-UA"/>
              </w:rPr>
            </w:pPr>
          </w:p>
        </w:tc>
        <w:tc>
          <w:tcPr>
            <w:tcW w:w="5069" w:type="dxa"/>
          </w:tcPr>
          <w:p w:rsidR="00E8661C" w:rsidRPr="005B5567" w:rsidRDefault="00E8661C" w:rsidP="007511F9">
            <w:pPr>
              <w:pStyle w:val="5"/>
              <w:rPr>
                <w:bCs/>
                <w:lang w:val="uk-UA"/>
              </w:rPr>
            </w:pPr>
            <w:r w:rsidRPr="005B5567">
              <w:rPr>
                <w:bCs/>
                <w:lang w:val="uk-UA"/>
              </w:rPr>
              <w:t xml:space="preserve">                       VІІ  скликання</w:t>
            </w:r>
          </w:p>
        </w:tc>
      </w:tr>
    </w:tbl>
    <w:p w:rsidR="00E8661C" w:rsidRPr="005B5567" w:rsidRDefault="00E8661C" w:rsidP="00E8661C">
      <w:pPr>
        <w:pStyle w:val="3"/>
      </w:pPr>
      <w:r w:rsidRPr="005B5567">
        <w:rPr>
          <w:bCs w:val="0"/>
        </w:rPr>
        <w:t>від  20 жовтня  2017  року</w:t>
      </w:r>
    </w:p>
    <w:p w:rsidR="00E8661C" w:rsidRPr="005B5567" w:rsidRDefault="00E8661C" w:rsidP="00E8661C">
      <w:pPr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b/>
          <w:bCs/>
          <w:spacing w:val="-10"/>
          <w:sz w:val="28"/>
          <w:szCs w:val="28"/>
          <w:lang w:val="uk-UA"/>
        </w:rPr>
      </w:pPr>
    </w:p>
    <w:p w:rsidR="00E8661C" w:rsidRPr="005B5567" w:rsidRDefault="00E8661C" w:rsidP="00E8661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підготовку дорожнього </w:t>
      </w:r>
    </w:p>
    <w:p w:rsidR="00E8661C" w:rsidRPr="005B5567" w:rsidRDefault="00E8661C" w:rsidP="00E8661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b/>
          <w:sz w:val="28"/>
          <w:szCs w:val="28"/>
          <w:lang w:val="uk-UA"/>
        </w:rPr>
        <w:t>комплексу району до осінньо-зимового періоду</w:t>
      </w:r>
    </w:p>
    <w:p w:rsidR="00E8661C" w:rsidRPr="005B5567" w:rsidRDefault="00E8661C" w:rsidP="00E8661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661C" w:rsidRPr="005B5567" w:rsidRDefault="00E8661C" w:rsidP="00222AE7">
      <w:pPr>
        <w:pStyle w:val="3"/>
        <w:tabs>
          <w:tab w:val="left" w:pos="5334"/>
        </w:tabs>
        <w:jc w:val="both"/>
        <w:rPr>
          <w:szCs w:val="28"/>
        </w:rPr>
      </w:pPr>
    </w:p>
    <w:p w:rsidR="00C92956" w:rsidRPr="005B5567" w:rsidRDefault="00E8661C" w:rsidP="00222AE7">
      <w:pPr>
        <w:spacing w:after="0"/>
        <w:ind w:firstLine="4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Заслухавши інформацію заступника голови районної державної адміністрації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Подіка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А.В. про підготовку дорожнього комплексу району до осінньо-зимового періоду, враховуючи рекомендації постійних комісій районної ради, районна рада</w:t>
      </w:r>
      <w:r w:rsidR="00104295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>відмічає, що м</w:t>
      </w:r>
      <w:r w:rsidR="00104295" w:rsidRPr="005B5567">
        <w:rPr>
          <w:rFonts w:ascii="Times New Roman" w:hAnsi="Times New Roman" w:cs="Times New Roman"/>
          <w:sz w:val="28"/>
          <w:szCs w:val="28"/>
          <w:lang w:val="uk-UA"/>
        </w:rPr>
        <w:t>ережа доріг загального користування поєднує 110 сільських населених пунктів.  Загальна протяжність доріг на території району складає майже 1100 км (1093,6 км) з них: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295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92,4 це дороги державного значення  ( це автодорога </w:t>
      </w:r>
      <w:proofErr w:type="spellStart"/>
      <w:r w:rsidR="00104295" w:rsidRPr="005B5567">
        <w:rPr>
          <w:rFonts w:ascii="Times New Roman" w:hAnsi="Times New Roman" w:cs="Times New Roman"/>
          <w:sz w:val="28"/>
          <w:szCs w:val="28"/>
          <w:lang w:val="uk-UA"/>
        </w:rPr>
        <w:t>Васьковичі</w:t>
      </w:r>
      <w:proofErr w:type="spellEnd"/>
      <w:r w:rsidR="00104295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Шепетівка-33,6 км ( 86-98) та Київ –Чоп  - 58,8 км які обслуговує філія «Новоград-Волинська до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рожня експлуатаційна дільниця ), </w:t>
      </w:r>
      <w:r w:rsidR="00104295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414,9 км дороги загального користування обслуговується філією «Новоград-Волинський райавтодор» з них 40,7 км дороги державного значення та 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374,2 дороги місцевого значення, </w:t>
      </w:r>
      <w:r w:rsidR="00104295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588,1 км це дороги, що знаходяться в комунальній власності  </w:t>
      </w:r>
      <w:r w:rsidR="005B55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 інформацією </w:t>
      </w:r>
      <w:r w:rsidR="00C92956" w:rsidRPr="005B55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філії «Новоград-Волинський  райавтодор» станом на 17.10.2017 </w:t>
      </w:r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філією «Новоград-Волинський райавтодор» виконано робіт з експлуатаційного утримання на суму 1,3 млн грн в тому числі з державного бюджету 164,0 тис., грн. Проведено ямковий  ремонт дороги до. </w:t>
      </w:r>
      <w:proofErr w:type="spellStart"/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>с.Федорів</w:t>
      </w:r>
      <w:r w:rsidR="005B5567">
        <w:rPr>
          <w:rFonts w:ascii="Times New Roman" w:hAnsi="Times New Roman" w:cs="Times New Roman"/>
          <w:sz w:val="28"/>
          <w:szCs w:val="28"/>
          <w:lang w:val="uk-UA"/>
        </w:rPr>
        <w:t>ка</w:t>
      </w:r>
      <w:proofErr w:type="spellEnd"/>
      <w:r w:rsidR="005B5567">
        <w:rPr>
          <w:rFonts w:ascii="Times New Roman" w:hAnsi="Times New Roman" w:cs="Times New Roman"/>
          <w:sz w:val="28"/>
          <w:szCs w:val="28"/>
          <w:lang w:val="uk-UA"/>
        </w:rPr>
        <w:t xml:space="preserve">, до с. </w:t>
      </w:r>
      <w:proofErr w:type="spellStart"/>
      <w:r w:rsidR="005B5567">
        <w:rPr>
          <w:rFonts w:ascii="Times New Roman" w:hAnsi="Times New Roman" w:cs="Times New Roman"/>
          <w:sz w:val="28"/>
          <w:szCs w:val="28"/>
          <w:lang w:val="uk-UA"/>
        </w:rPr>
        <w:t>Гульськ</w:t>
      </w:r>
      <w:proofErr w:type="spellEnd"/>
      <w:r w:rsidR="005B5567">
        <w:rPr>
          <w:rFonts w:ascii="Times New Roman" w:hAnsi="Times New Roman" w:cs="Times New Roman"/>
          <w:sz w:val="28"/>
          <w:szCs w:val="28"/>
          <w:lang w:val="uk-UA"/>
        </w:rPr>
        <w:t>, та автодорога</w:t>
      </w:r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>с.Дідовичі</w:t>
      </w:r>
      <w:proofErr w:type="spellEnd"/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proofErr w:type="spellStart"/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>Бори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сі</w:t>
      </w:r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>вку</w:t>
      </w:r>
      <w:proofErr w:type="spellEnd"/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>с.Токарів</w:t>
      </w:r>
      <w:proofErr w:type="spellEnd"/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загальною площею 1044м</w:t>
      </w:r>
      <w:r w:rsidR="00C92956" w:rsidRPr="005B5567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</w:p>
    <w:p w:rsidR="00C92956" w:rsidRPr="005B5567" w:rsidRDefault="00C92956" w:rsidP="00222AE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>Також проводилось грейдерування доріг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. По чотири рази 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ст. Ново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град-Волинський 2 до </w:t>
      </w:r>
      <w:proofErr w:type="spellStart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с.Тальки</w:t>
      </w:r>
      <w:proofErr w:type="spellEnd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По три рази 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до с. Киянка, 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proofErr w:type="spellStart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с.Ярунь</w:t>
      </w:r>
      <w:proofErr w:type="spellEnd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через Велику </w:t>
      </w:r>
      <w:proofErr w:type="spellStart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Горбашу</w:t>
      </w:r>
      <w:proofErr w:type="spellEnd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с.Колодянка</w:t>
      </w:r>
      <w:proofErr w:type="spellEnd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с.Ярунь</w:t>
      </w:r>
      <w:proofErr w:type="spellEnd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до с. </w:t>
      </w:r>
      <w:proofErr w:type="spellStart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Жолобне</w:t>
      </w:r>
      <w:proofErr w:type="spellEnd"/>
      <w:r w:rsidR="005B5567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По два рази 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від с.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Гульськ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– Новоград-Волинський 2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proofErr w:type="spellStart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с.Поліянівка</w:t>
      </w:r>
      <w:proofErr w:type="spellEnd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через</w:t>
      </w:r>
      <w:r w:rsidR="005B5567">
        <w:rPr>
          <w:rFonts w:ascii="Times New Roman" w:hAnsi="Times New Roman" w:cs="Times New Roman"/>
          <w:sz w:val="28"/>
          <w:szCs w:val="28"/>
          <w:lang w:val="uk-UA"/>
        </w:rPr>
        <w:t xml:space="preserve"> Вироби до с. Малинівка,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ід с. Тальки до с. </w:t>
      </w:r>
      <w:proofErr w:type="spellStart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Немильня</w:t>
      </w:r>
      <w:proofErr w:type="spellEnd"/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proofErr w:type="spellStart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с.Повчино</w:t>
      </w:r>
      <w:proofErr w:type="spellEnd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с.Суховоля</w:t>
      </w:r>
      <w:proofErr w:type="spellEnd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lastRenderedPageBreak/>
        <w:t>с.Ярунь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до с. Груд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proofErr w:type="spellStart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с.Кожушки</w:t>
      </w:r>
      <w:proofErr w:type="spellEnd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до с. Тернівка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По одному разу 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ід’їзд до с. Миколаївка,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>ідїзд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до с.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Карпилівка</w:t>
      </w:r>
      <w:proofErr w:type="spellEnd"/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ід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с.Таращанка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Красилівка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до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с.Михіївк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ід с.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Тупальці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через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овозелене</w:t>
      </w:r>
      <w:proofErr w:type="spellEnd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до с. </w:t>
      </w:r>
      <w:proofErr w:type="spellStart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Абрамок</w:t>
      </w:r>
      <w:proofErr w:type="spellEnd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2AE7" w:rsidRPr="005B5567" w:rsidRDefault="00C92956" w:rsidP="00222AE7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На даний час у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райавтодор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End"/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є в наявності. 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Для посипки доріг 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протиожеледн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ими</w:t>
      </w:r>
      <w:proofErr w:type="spellEnd"/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сумішами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наявна техніка:</w:t>
      </w:r>
      <w:r w:rsidR="00222AE7" w:rsidRPr="005B55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>2- КДМ -130  із яких 1 в неробочому стані (потребує запчасти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н на суму близько 50 тис. грн),1 - екскаватор ЕО 2621.</w:t>
      </w:r>
    </w:p>
    <w:p w:rsidR="00222AE7" w:rsidRPr="005B5567" w:rsidRDefault="00C92956" w:rsidP="00222AE7">
      <w:pPr>
        <w:pStyle w:val="a5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>Для очищення доріг від снігу:</w:t>
      </w:r>
      <w:r w:rsidRPr="005B55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>1 - КРАЗ з плужним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відвалом, але відсутній водій ,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>1-  трактор Т-150, 1 - трактор МТЗ -920,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>2  автогрейдери  ДЗ -122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,  але 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 потребує в заміни шин .</w:t>
      </w:r>
    </w:p>
    <w:p w:rsidR="00C92956" w:rsidRPr="005B5567" w:rsidRDefault="00C92956" w:rsidP="00222AE7">
      <w:pPr>
        <w:pStyle w:val="a5"/>
        <w:spacing w:after="0"/>
        <w:ind w:left="0" w:firstLine="34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>Паливо-мастильні матеріали відсутні.  Потреба на перший період складає: 5 тон бензину, 10 тон дизельного палива.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Заготівля  піщано сольових сумішей по факту 140 тон при потребі у 800 тон тобто заготівля виконано на 17,5 % . </w:t>
      </w:r>
    </w:p>
    <w:p w:rsidR="00222AE7" w:rsidRPr="005B5567" w:rsidRDefault="00C92956" w:rsidP="00222AE7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Основна проблема  не вистачає робітників: це 3 механізаторів та 2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водїв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>. Інші п</w:t>
      </w:r>
      <w:r w:rsidR="005B5567">
        <w:rPr>
          <w:rFonts w:ascii="Times New Roman" w:hAnsi="Times New Roman" w:cs="Times New Roman"/>
          <w:sz w:val="28"/>
          <w:szCs w:val="28"/>
          <w:lang w:val="uk-UA"/>
        </w:rPr>
        <w:t>роблеми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райавтодору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: не виплата заробітної плати за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остані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4 місяці що спричинило проблему відтоку кадрів (3 механізатора та 2 водії).</w:t>
      </w:r>
    </w:p>
    <w:p w:rsidR="00C92956" w:rsidRPr="005B5567" w:rsidRDefault="00C92956" w:rsidP="00222AE7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>Філією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«Новоград-Волинська ДЕД»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протягом періоду проводилась робота по ремонту доріг державного значення Р-49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Васьковичі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– Шепетівка та автодорога Київ-Чоп. Протягом 9 місяців було освоєно коштів на експлуатаційне утримання  з державного бюджету в суму 8,5 млн грн. та власними силами 7645,3. Також з місцевого бюджету  на ремонт дороги від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с.Повчино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до с. Суховоля (підсипання та грейдерування)  виконано робіт на суму 110 тис грн,  ремонт дороги по вул. Садова с.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Стрієва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 на суму 97,9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тис.,грн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2AE7" w:rsidRPr="005B5567" w:rsidRDefault="00E9254C" w:rsidP="00222AE7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>На даний час у філії д</w:t>
      </w:r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ля посипки доріг  </w:t>
      </w:r>
      <w:proofErr w:type="spellStart"/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>протиожеледн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>ими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сумішами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наявна техніка: 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7-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Піскорозкидачі</w:t>
      </w:r>
      <w:proofErr w:type="spellEnd"/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>, але 4 з них знаходяться в неробочому стані;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1 - Роторні </w:t>
      </w:r>
      <w:proofErr w:type="spellStart"/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>сніг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>очищувачі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(наявний та робочий), </w:t>
      </w:r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3- </w:t>
      </w:r>
      <w:proofErr w:type="spellStart"/>
      <w:r w:rsidR="00C92956" w:rsidRPr="005B5567">
        <w:rPr>
          <w:rFonts w:ascii="Times New Roman" w:hAnsi="Times New Roman" w:cs="Times New Roman"/>
          <w:sz w:val="28"/>
          <w:szCs w:val="28"/>
          <w:lang w:val="uk-UA"/>
        </w:rPr>
        <w:t>Солорозпо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>ділювачі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(всі в робочому стані).</w:t>
      </w:r>
    </w:p>
    <w:p w:rsidR="00C92956" w:rsidRPr="005B5567" w:rsidRDefault="00C92956" w:rsidP="00222AE7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>Для очищення доріг від снігу:</w:t>
      </w:r>
      <w:r w:rsidRPr="005B55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>3 - Автогрейдери ,але 2 з них з</w:t>
      </w:r>
      <w:r w:rsidR="00E9254C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находяться в несправному стані, 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>4- Навантажувальн</w:t>
      </w:r>
      <w:r w:rsidR="005B5567" w:rsidRPr="005B5567">
        <w:rPr>
          <w:rFonts w:ascii="Times New Roman" w:hAnsi="Times New Roman" w:cs="Times New Roman"/>
          <w:sz w:val="28"/>
          <w:szCs w:val="28"/>
          <w:lang w:val="uk-UA"/>
        </w:rPr>
        <w:t>ої техніки всі в робочому стані,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1 - Роторний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сніг</w:t>
      </w:r>
      <w:r w:rsidR="005B5567" w:rsidRPr="005B5567">
        <w:rPr>
          <w:rFonts w:ascii="Times New Roman" w:hAnsi="Times New Roman" w:cs="Times New Roman"/>
          <w:sz w:val="28"/>
          <w:szCs w:val="28"/>
          <w:lang w:val="uk-UA"/>
        </w:rPr>
        <w:t>оочищувач</w:t>
      </w:r>
      <w:proofErr w:type="spellEnd"/>
      <w:r w:rsidR="005B556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(наявний та робочий), 6 - н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>авісного обладнання .</w:t>
      </w:r>
    </w:p>
    <w:p w:rsidR="00C92956" w:rsidRPr="005B5567" w:rsidRDefault="00C92956" w:rsidP="00222AE7">
      <w:pPr>
        <w:spacing w:after="0" w:line="259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>Паливо-мастильних матеріалів відсутні.  При потребі на зимовий період та заготівлі піщано сольових сумішей складає 150 тон дизельного пального та 20 тон бензину;</w:t>
      </w:r>
      <w:r w:rsidR="00222AE7" w:rsidRPr="005B55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>Відсутні фракційні мате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ріали при потребі 11,9 тис. тон 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Технічної солі є 918 тон при потребі 2 тис. тон що складає 45,0% від потреби. </w:t>
      </w:r>
    </w:p>
    <w:p w:rsidR="00C92956" w:rsidRPr="005B5567" w:rsidRDefault="00C92956" w:rsidP="00222AE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>На відновлення та ремонт техніки потрібно близько 200 тис грн ( на закупівля акумуляторів, шин, автомобільне масло, насоси тощо).</w:t>
      </w:r>
    </w:p>
    <w:p w:rsidR="00C92956" w:rsidRPr="005B5567" w:rsidRDefault="00C92956" w:rsidP="00222AE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>На даний час працює 67 чоловік. Потреба у водіях  та механізаторів 10 чоловік</w:t>
      </w:r>
    </w:p>
    <w:p w:rsidR="00E8661C" w:rsidRPr="005B5567" w:rsidRDefault="00C92956" w:rsidP="00222AE7">
      <w:pPr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>Всі ці проблеми є наслідком недостатнього фінансування та заборгованості по заробітній платі.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вище </w:t>
      </w:r>
      <w:r w:rsidR="005B5567" w:rsidRPr="005B5567">
        <w:rPr>
          <w:rFonts w:ascii="Times New Roman" w:hAnsi="Times New Roman" w:cs="Times New Roman"/>
          <w:sz w:val="28"/>
          <w:szCs w:val="28"/>
          <w:lang w:val="uk-UA"/>
        </w:rPr>
        <w:t>викладене</w:t>
      </w:r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та з метою підготовки дорожнього комплексу району до </w:t>
      </w:r>
      <w:proofErr w:type="spellStart"/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>осіньо</w:t>
      </w:r>
      <w:proofErr w:type="spellEnd"/>
      <w:r w:rsidR="00222AE7" w:rsidRPr="005B5567">
        <w:rPr>
          <w:rFonts w:ascii="Times New Roman" w:hAnsi="Times New Roman" w:cs="Times New Roman"/>
          <w:sz w:val="28"/>
          <w:szCs w:val="28"/>
          <w:lang w:val="uk-UA"/>
        </w:rPr>
        <w:t>-зимового періоду, районна рада</w:t>
      </w:r>
    </w:p>
    <w:p w:rsidR="00E8661C" w:rsidRPr="005B5567" w:rsidRDefault="00E8661C" w:rsidP="00E8661C">
      <w:pPr>
        <w:tabs>
          <w:tab w:val="left" w:pos="5334"/>
        </w:tabs>
        <w:spacing w:after="0" w:line="21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E8661C" w:rsidRPr="005B5567" w:rsidRDefault="00E8661C" w:rsidP="00E8661C">
      <w:pPr>
        <w:pStyle w:val="a5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 заступника голови районної державної адміністрації                 про підготовку дорожнього комплексу району до осінньо-зимового періоду 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Подіка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 А.В. взяти до відома.</w:t>
      </w:r>
    </w:p>
    <w:p w:rsidR="00E8661C" w:rsidRPr="005B5567" w:rsidRDefault="00E8661C" w:rsidP="00E86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>2.Запропонувати райдержадміністрації:</w:t>
      </w:r>
    </w:p>
    <w:p w:rsidR="00E8661C" w:rsidRPr="005B5567" w:rsidRDefault="00E8661C" w:rsidP="00E8661C">
      <w:pPr>
        <w:pStyle w:val="a5"/>
        <w:numPr>
          <w:ilvl w:val="1"/>
          <w:numId w:val="3"/>
        </w:numPr>
        <w:tabs>
          <w:tab w:val="num" w:pos="855"/>
          <w:tab w:val="left" w:pos="53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Активізувати роботу районної комісії з безпеки дорожнього руху з метою посилення контролю за роботою дорожніх служб по утриманню в належному стані доріг та вулиць в районі, облаштуванню доріг дорожніми знаками, ліквідації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нерівностей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ямковості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покриття, ліквідації зелених насаджень на смугах відводу.</w:t>
      </w:r>
    </w:p>
    <w:p w:rsidR="00E8661C" w:rsidRPr="005B5567" w:rsidRDefault="00E8661C" w:rsidP="00E8661C">
      <w:pPr>
        <w:tabs>
          <w:tab w:val="num" w:pos="0"/>
          <w:tab w:val="left" w:pos="53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>2.2. Не менше двох разів в рік проводити спільну нараду за участю дорожніх служб, селищного, сільських голів, перевізників району та правоохоронних органів.</w:t>
      </w:r>
    </w:p>
    <w:p w:rsidR="00E8661C" w:rsidRPr="005B5567" w:rsidRDefault="00E8661C" w:rsidP="00E8661C">
      <w:pPr>
        <w:tabs>
          <w:tab w:val="num" w:pos="0"/>
          <w:tab w:val="left" w:pos="5334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>2.3. Узагальнювати інформацію щодо ремонту і обслуговування доріг, використання коштів, виділених на ці цілі та інформувати  районну раду про стан цієї роботи.</w:t>
      </w:r>
    </w:p>
    <w:p w:rsidR="00E8661C" w:rsidRPr="005B5567" w:rsidRDefault="00E8661C" w:rsidP="00E86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>3.Рекомендувати селищній, сільським радам:</w:t>
      </w:r>
    </w:p>
    <w:p w:rsidR="00E8661C" w:rsidRPr="005B5567" w:rsidRDefault="00E8661C" w:rsidP="00E8661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>3.1. Розробити та затвердити  місцеві програми ремонту автодоріг.</w:t>
      </w:r>
      <w:r w:rsidRPr="005B55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Включити до </w:t>
      </w:r>
      <w:r w:rsidRPr="005B556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Програм питання облаштування на вулицях населених пунктів тротуарів, пішохідних доріжок, відновлення  роботи  зовнішнього освітлення. В </w:t>
      </w:r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зв’язку із критичною ситуацією і недостатністю державних коштів приймати участь у забезпеченні ремонту та реконструкції доріг державного значення, які знаходяться  на території таких громад на умовах </w:t>
      </w:r>
      <w:proofErr w:type="spellStart"/>
      <w:r w:rsidRPr="005B5567">
        <w:rPr>
          <w:rFonts w:ascii="Times New Roman" w:hAnsi="Times New Roman" w:cs="Times New Roman"/>
          <w:sz w:val="28"/>
          <w:szCs w:val="28"/>
          <w:lang w:val="uk-UA"/>
        </w:rPr>
        <w:t>співфінансування</w:t>
      </w:r>
      <w:proofErr w:type="spellEnd"/>
      <w:r w:rsidRPr="005B5567">
        <w:rPr>
          <w:rFonts w:ascii="Times New Roman" w:hAnsi="Times New Roman" w:cs="Times New Roman"/>
          <w:sz w:val="28"/>
          <w:szCs w:val="28"/>
          <w:lang w:val="uk-UA"/>
        </w:rPr>
        <w:t xml:space="preserve"> на договірних засадах.</w:t>
      </w:r>
    </w:p>
    <w:p w:rsidR="00E8661C" w:rsidRPr="005B5567" w:rsidRDefault="00E8661C" w:rsidP="00E8661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sz w:val="28"/>
          <w:szCs w:val="28"/>
          <w:lang w:val="uk-UA"/>
        </w:rPr>
        <w:t>3.2. Продовжити роботу з питань видалення дерев та кущів у населених пунктах, які ростуть на узбіччях,  чим</w:t>
      </w:r>
      <w:r w:rsidRPr="005B55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зменшують бокову видимість та можуть створити небезпеку дорожньому  руху при їх падінні.</w:t>
      </w:r>
    </w:p>
    <w:p w:rsidR="00E8661C" w:rsidRPr="005B5567" w:rsidRDefault="00E8661C" w:rsidP="00C708EC">
      <w:pPr>
        <w:pStyle w:val="3"/>
        <w:tabs>
          <w:tab w:val="left" w:pos="5334"/>
        </w:tabs>
        <w:spacing w:before="120" w:after="120"/>
        <w:jc w:val="both"/>
        <w:rPr>
          <w:b w:val="0"/>
          <w:szCs w:val="28"/>
        </w:rPr>
      </w:pPr>
      <w:r w:rsidRPr="005B5567">
        <w:rPr>
          <w:b w:val="0"/>
          <w:szCs w:val="28"/>
        </w:rPr>
        <w:t>4.</w:t>
      </w:r>
      <w:r w:rsidRPr="005B5567">
        <w:rPr>
          <w:szCs w:val="28"/>
        </w:rPr>
        <w:t xml:space="preserve"> </w:t>
      </w:r>
      <w:r w:rsidRPr="005B5567">
        <w:rPr>
          <w:b w:val="0"/>
          <w:szCs w:val="28"/>
        </w:rPr>
        <w:t xml:space="preserve">Рекомендувати філії «Новоград-Волинський райавтодор» ДП «Житомироблавтодор»  укласти договори про надання послуг з приватними підприємствами району,  які мають відповідну техніку </w:t>
      </w:r>
      <w:r w:rsidRPr="005B5567">
        <w:rPr>
          <w:b w:val="0"/>
        </w:rPr>
        <w:t>для розчистки доріг від снігу та посипки ПСС</w:t>
      </w:r>
      <w:r w:rsidRPr="005B5567">
        <w:rPr>
          <w:b w:val="0"/>
          <w:szCs w:val="28"/>
        </w:rPr>
        <w:t>.</w:t>
      </w:r>
    </w:p>
    <w:p w:rsidR="00E8661C" w:rsidRPr="005B5567" w:rsidRDefault="00E8661C" w:rsidP="00E8661C">
      <w:pPr>
        <w:pStyle w:val="3"/>
        <w:rPr>
          <w:b w:val="0"/>
          <w:szCs w:val="28"/>
        </w:rPr>
      </w:pPr>
    </w:p>
    <w:p w:rsidR="00CC1D07" w:rsidRPr="005B5567" w:rsidRDefault="00E8661C" w:rsidP="005B556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567">
        <w:rPr>
          <w:rFonts w:ascii="Times New Roman" w:hAnsi="Times New Roman" w:cs="Times New Roman"/>
          <w:b/>
          <w:sz w:val="28"/>
          <w:szCs w:val="28"/>
          <w:lang w:val="uk-UA"/>
        </w:rPr>
        <w:t>Голова районної ради                                                              Д. В. Рудницький</w:t>
      </w:r>
    </w:p>
    <w:sectPr w:rsidR="00CC1D07" w:rsidRPr="005B5567" w:rsidSect="005B5567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56C"/>
    <w:multiLevelType w:val="hybridMultilevel"/>
    <w:tmpl w:val="FB105F4E"/>
    <w:lvl w:ilvl="0" w:tplc="E47AB9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823EE6"/>
    <w:multiLevelType w:val="hybridMultilevel"/>
    <w:tmpl w:val="9B86FB5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27A74"/>
    <w:multiLevelType w:val="hybridMultilevel"/>
    <w:tmpl w:val="6218BA82"/>
    <w:lvl w:ilvl="0" w:tplc="B2E69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D25A4"/>
    <w:multiLevelType w:val="multilevel"/>
    <w:tmpl w:val="137032D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95B506C"/>
    <w:multiLevelType w:val="hybridMultilevel"/>
    <w:tmpl w:val="80E43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83402A"/>
    <w:multiLevelType w:val="hybridMultilevel"/>
    <w:tmpl w:val="2B002578"/>
    <w:lvl w:ilvl="0" w:tplc="001C9D6E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B7A65BA"/>
    <w:multiLevelType w:val="multilevel"/>
    <w:tmpl w:val="9F68F8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61C"/>
    <w:rsid w:val="00104295"/>
    <w:rsid w:val="00222AE7"/>
    <w:rsid w:val="005B5567"/>
    <w:rsid w:val="00617069"/>
    <w:rsid w:val="00C708EC"/>
    <w:rsid w:val="00C92956"/>
    <w:rsid w:val="00CC1D07"/>
    <w:rsid w:val="00E8661C"/>
    <w:rsid w:val="00E9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03629"/>
  <w15:docId w15:val="{53A335B6-CB79-46C5-9196-550D2CF5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61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E8661C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E8661C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8661C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8661C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E8661C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E8661C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E8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61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86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4079</Words>
  <Characters>2326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Пользователь Windows</cp:lastModifiedBy>
  <cp:revision>5</cp:revision>
  <cp:lastPrinted>2017-10-19T14:43:00Z</cp:lastPrinted>
  <dcterms:created xsi:type="dcterms:W3CDTF">2017-09-25T12:38:00Z</dcterms:created>
  <dcterms:modified xsi:type="dcterms:W3CDTF">2017-10-19T14:43:00Z</dcterms:modified>
</cp:coreProperties>
</file>